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23485589" w:rsidR="00F422D3" w:rsidRPr="00A637A7" w:rsidRDefault="00F422D3" w:rsidP="00BB1390">
      <w:pPr>
        <w:pStyle w:val="Titul2"/>
        <w:rPr>
          <w:color w:val="FF0000"/>
          <w:sz w:val="18"/>
          <w:szCs w:val="18"/>
        </w:rPr>
      </w:pPr>
      <w:r>
        <w:t xml:space="preserve">Název </w:t>
      </w:r>
      <w:r w:rsidRPr="00BB1390">
        <w:t>zakázky</w:t>
      </w:r>
      <w:r>
        <w:t>: „</w:t>
      </w:r>
      <w:r w:rsidR="0097574D" w:rsidRPr="0097574D">
        <w:t>PS 13-23-10 Beroun Trafostanice 22/0,4 kV – navýšení příkonu v rámci stavby „Optimalizace trati Beroun (včetně) – Králův Dvůr“</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2D2C3C26" w:rsidR="00F422D3" w:rsidRDefault="00F422D3" w:rsidP="00B42F40">
      <w:pPr>
        <w:pStyle w:val="Textbezodsazen"/>
        <w:spacing w:after="0"/>
      </w:pPr>
      <w:r>
        <w:t>zastoupena</w:t>
      </w:r>
      <w:r w:rsidRPr="0097574D">
        <w:t xml:space="preserve">: </w:t>
      </w:r>
      <w:r w:rsidR="0097574D" w:rsidRPr="0097574D">
        <w:t>Ing. Petrem Hofhanzlem, ředitelem Stavební správy západ</w:t>
      </w:r>
      <w:r w:rsidRPr="0097574D">
        <w:t xml:space="preserve"> </w:t>
      </w:r>
    </w:p>
    <w:p w14:paraId="150C38ED" w14:textId="77777777" w:rsidR="0097574D" w:rsidRPr="0097574D" w:rsidRDefault="0097574D" w:rsidP="00B42F40">
      <w:pPr>
        <w:pStyle w:val="Textbezodsazen"/>
        <w:spacing w:after="0"/>
      </w:pP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7DB13C70" w:rsidR="00F422D3" w:rsidRDefault="00F422D3" w:rsidP="00B42F40">
      <w:pPr>
        <w:pStyle w:val="Textbezodsazen"/>
      </w:pPr>
      <w:r w:rsidRPr="00B42F40">
        <w:t>Stavební</w:t>
      </w:r>
      <w:r>
        <w:t xml:space="preserve"> správa </w:t>
      </w:r>
      <w:r w:rsidR="0097574D">
        <w:t>západ, Sokolovská 1955/278, 190 00 Praha 9</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49F2AC14" w:rsidR="00F422D3" w:rsidRDefault="00F422D3" w:rsidP="00B42F40">
      <w:pPr>
        <w:pStyle w:val="Textbezodsazen"/>
      </w:pPr>
      <w:r>
        <w:t>ISPROFOND</w:t>
      </w:r>
      <w:r w:rsidRPr="0097574D">
        <w:t xml:space="preserve">: </w:t>
      </w:r>
      <w:r w:rsidR="0097574D" w:rsidRPr="0097574D">
        <w:t>542 352 0028</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2E9668FD"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předávat </w:t>
      </w:r>
      <w:r w:rsidR="00FB3912">
        <w:t xml:space="preserve">na vyžádání </w:t>
      </w:r>
      <w:r>
        <w:t>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670DB74D" w14:textId="77777777" w:rsidR="007D26F9" w:rsidRDefault="007D26F9" w:rsidP="00BC5BDD">
      <w:pPr>
        <w:pStyle w:val="Odrka1-3"/>
      </w:pPr>
      <w:r>
        <w:t>souhrn fakturace,</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37B6E5FA" w:rsidR="007D26F9" w:rsidRDefault="007D26F9" w:rsidP="0097574D">
      <w:pPr>
        <w:pStyle w:val="Text1-1"/>
      </w:pPr>
      <w:r>
        <w:t xml:space="preserve">Objednatel oznámil uveřejněním na profilu zadavatele: </w:t>
      </w:r>
      <w:hyperlink r:id="rId11" w:history="1">
        <w:r w:rsidR="009F6914" w:rsidRPr="00606FE8">
          <w:rPr>
            <w:rStyle w:val="Hypertextovodkaz"/>
            <w:noProof w:val="0"/>
            <w:color w:val="auto"/>
          </w:rPr>
          <w:t>https://zakazky.sprav</w:t>
        </w:r>
      </w:hyperlink>
      <w:r w:rsidR="009F6914" w:rsidRPr="00606FE8">
        <w:t>azeleznic.c</w:t>
      </w:r>
      <w:r w:rsidR="009F6914">
        <w:t>z/</w:t>
      </w:r>
      <w:r>
        <w:t xml:space="preserve">dne pod evidenčním číslem </w:t>
      </w:r>
      <w:r w:rsidR="00CA3174">
        <w:t>61821293</w:t>
      </w:r>
      <w:r>
        <w:t xml:space="preserve"> svůj úmysl zadat veřejnou zakázku</w:t>
      </w:r>
      <w:r w:rsidR="00A349C6">
        <w:t xml:space="preserve"> s </w:t>
      </w:r>
      <w:r>
        <w:t xml:space="preserve">názvem </w:t>
      </w:r>
      <w:r w:rsidRPr="0097574D">
        <w:rPr>
          <w:b/>
        </w:rPr>
        <w:t>„</w:t>
      </w:r>
      <w:r w:rsidR="0097574D" w:rsidRPr="0097574D">
        <w:rPr>
          <w:b/>
        </w:rPr>
        <w:t>PS 13-23-10 Beroun Trafostanice 22/0,4 kV – navýšení příkonu v rámci stavby „Optimalizace trati Beroun (včetně) – Králův Dvůr“</w:t>
      </w:r>
      <w:r w:rsidRPr="0097574D">
        <w:rPr>
          <w:b/>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F694D8B" w14:textId="77777777"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 xml:space="preserve">přidané hodnoty, ve znění pozdějších předpisů (dále </w:t>
      </w:r>
      <w:r>
        <w:lastRenderedPageBreak/>
        <w:t>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07BBCED7" w:rsidR="008911C8" w:rsidRDefault="008911C8" w:rsidP="008911C8">
      <w:pPr>
        <w:pStyle w:val="Textbezslovn"/>
      </w:pPr>
      <w:r>
        <w:t xml:space="preserve">Celková lhůta pro provedení Díla činí celkem </w:t>
      </w:r>
      <w:r w:rsidR="004C0513" w:rsidRPr="004C0513">
        <w:rPr>
          <w:b/>
        </w:rPr>
        <w:t>1</w:t>
      </w:r>
      <w:r w:rsidR="00925EBA">
        <w:rPr>
          <w:b/>
        </w:rPr>
        <w:t>6</w:t>
      </w:r>
      <w:r w:rsidR="004C0513">
        <w:t xml:space="preserve"> </w:t>
      </w:r>
      <w:r w:rsidRPr="008911C8">
        <w:rPr>
          <w:rStyle w:val="Tun"/>
        </w:rPr>
        <w:t>měsíců</w:t>
      </w:r>
      <w:r>
        <w:t xml:space="preserve"> od nabytí účinnosti Smlouvy (dokladem prokazujícím, že Zhotovitel dokončil celé Dílo, je Předávací protokol dle odst. 10.4 Obchodních podmínek).</w:t>
      </w:r>
    </w:p>
    <w:p w14:paraId="150D27D2" w14:textId="25E6C940" w:rsidR="008911C8" w:rsidRDefault="008911C8" w:rsidP="008911C8">
      <w:pPr>
        <w:pStyle w:val="Textbezslovn"/>
      </w:pPr>
      <w:r>
        <w:t xml:space="preserve">Zpracování a předání dílčí části Projektové dokumentace v rozsahu Přílohy č. 3 vyhlášky č.146/2008 Sb. spolu se zajištěním stavebního povolení bude provedeno do </w:t>
      </w:r>
      <w:r w:rsidR="004C0513" w:rsidRPr="004C0513">
        <w:rPr>
          <w:b/>
        </w:rPr>
        <w:t>3</w:t>
      </w:r>
      <w:r w:rsidRPr="004C0513">
        <w:rPr>
          <w:rStyle w:val="Tun"/>
          <w:b w:val="0"/>
        </w:rPr>
        <w:t> m</w:t>
      </w:r>
      <w:r w:rsidRPr="008911C8">
        <w:rPr>
          <w:rStyle w:val="Tun"/>
        </w:rPr>
        <w:t>ěsíců</w:t>
      </w:r>
      <w:r>
        <w:t xml:space="preserve"> ode dne nabytí účinnosti Smlouvy.</w:t>
      </w:r>
    </w:p>
    <w:p w14:paraId="34BD7111" w14:textId="676362EA"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4C0513" w:rsidRPr="004C0513">
        <w:rPr>
          <w:b/>
        </w:rPr>
        <w:t>1</w:t>
      </w:r>
      <w:r w:rsidR="00BB2EFF">
        <w:rPr>
          <w:b/>
        </w:rPr>
        <w:t>3</w:t>
      </w:r>
      <w:bookmarkStart w:id="0" w:name="_GoBack"/>
      <w:bookmarkEnd w:id="0"/>
      <w:r w:rsidR="004C0513" w:rsidRPr="004C0513">
        <w:rPr>
          <w:b/>
        </w:rPr>
        <w:t xml:space="preserve"> </w:t>
      </w:r>
      <w:r w:rsidRPr="00CB2DC6">
        <w:rPr>
          <w:rStyle w:val="Tun"/>
        </w:rPr>
        <w:t>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5EDE7CBF" w:rsidR="008911C8" w:rsidRDefault="008911C8" w:rsidP="00CB2DC6">
      <w:pPr>
        <w:pStyle w:val="Textbezslovn"/>
      </w:pPr>
      <w:r w:rsidRPr="004C0513">
        <w:t>Předání posouzení interoperability, včetně zajištění všech souvisejících dokladů, podle ust. § 49b zákona 266/1994 Sb. ve znění pozdějších předpisů, předání osvědčení o</w:t>
      </w:r>
      <w:r w:rsidR="00CB2DC6" w:rsidRPr="004C0513">
        <w:t> </w:t>
      </w:r>
      <w:r w:rsidRPr="004C0513">
        <w:t>bezpečnosti zpracovaného nezávislým posuzovatelem podle prováděcího nařízení Komise (EU) č. 402/2013 ze dne 30. dubna 2013 o společné bezpečnostní metodě pr</w:t>
      </w:r>
      <w:r>
        <w:t>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925EBA" w:rsidRPr="00925EBA">
        <w:rPr>
          <w:b/>
        </w:rPr>
        <w:t>3</w:t>
      </w:r>
      <w:r w:rsidRPr="00925EBA">
        <w:rPr>
          <w:rStyle w:val="Tun"/>
          <w:b w:val="0"/>
        </w:rPr>
        <w:t xml:space="preserve"> </w:t>
      </w:r>
      <w:r w:rsidRPr="00CB2DC6">
        <w:rPr>
          <w:rStyle w:val="Tun"/>
        </w:rPr>
        <w:t>měsíců</w:t>
      </w:r>
      <w:r>
        <w:t xml:space="preserve"> ode dne podpisu posledního Zápisu o předání a převzetí Díla.</w:t>
      </w:r>
    </w:p>
    <w:p w14:paraId="02D7049A" w14:textId="77777777" w:rsidR="008911C8" w:rsidRDefault="008911C8" w:rsidP="00CB2DC6">
      <w:pPr>
        <w:pStyle w:val="Textbezslovn"/>
      </w:pPr>
      <w:r>
        <w:t>Lhůty stanovené v odst</w:t>
      </w:r>
      <w:r w:rsidRPr="00394474">
        <w:rPr>
          <w:color w:val="000000" w:themeColor="text1"/>
        </w:rPr>
        <w:t xml:space="preserve">. 13.3.3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77777777" w:rsidR="007D26F9" w:rsidRPr="00BC5BDD" w:rsidRDefault="007D26F9" w:rsidP="00BC5BDD">
      <w:pPr>
        <w:pStyle w:val="Nadpis1-1"/>
      </w:pPr>
      <w:r w:rsidRPr="00BC5BDD">
        <w:t>ZÁRUKY A DALŠÍ USTANOVENÍ</w:t>
      </w:r>
    </w:p>
    <w:p w14:paraId="4E57EF7C" w14:textId="77777777" w:rsidR="00FB3912" w:rsidRPr="00FB3912" w:rsidRDefault="00FB3912" w:rsidP="00FB3912">
      <w:pPr>
        <w:pStyle w:val="Text1-1"/>
      </w:pPr>
      <w:r w:rsidRPr="00FB3912">
        <w:t>Bankovní záruka za provedení Díla dle čl. 14 Obchodních podmínek se nepožaduje.</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lastRenderedPageBreak/>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rPr>
          <w:sz w:val="18"/>
          <w:szCs w:val="18"/>
        </w:rPr>
        <w:t>7</w:t>
      </w:r>
      <w:r w:rsidRPr="00BB31AD">
        <w:rPr>
          <w:sz w:val="18"/>
          <w:szCs w:val="18"/>
        </w:rPr>
        <w:t xml:space="preserve">.1 této Smlouvy. </w:t>
      </w:r>
    </w:p>
    <w:p w14:paraId="4925CE78" w14:textId="644F219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 č.</w:t>
      </w:r>
      <w:r w:rsidR="00C729BC" w:rsidRPr="00BB31AD">
        <w:rPr>
          <w:rFonts w:eastAsia="Times New Roman" w:cs="Times New Roman"/>
          <w:sz w:val="18"/>
          <w:szCs w:val="18"/>
        </w:rPr>
        <w:t xml:space="preserve"> 2b</w:t>
      </w:r>
      <w:r w:rsidRPr="00BB31AD">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28BDE07C"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BB31AD">
        <w:rPr>
          <w:rFonts w:eastAsia="Times New Roman" w:cs="Times New Roman"/>
          <w:sz w:val="18"/>
          <w:szCs w:val="18"/>
        </w:rPr>
        <w:t xml:space="preserve">provedení studentské exkurze, a to v kancelářích 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470146">
        <w:rPr>
          <w:rFonts w:eastAsia="Times New Roman" w:cs="Times New Roman"/>
          <w:sz w:val="18"/>
          <w:szCs w:val="18"/>
        </w:rPr>
        <w:t xml:space="preserve"> provedení exkurze</w:t>
      </w:r>
      <w:r w:rsidR="009214D9">
        <w:rPr>
          <w:rFonts w:eastAsia="Times New Roman" w:cs="Times New Roman"/>
          <w:sz w:val="18"/>
          <w:szCs w:val="18"/>
        </w:rPr>
        <w:t xml:space="preserve"> </w:t>
      </w:r>
      <w:r w:rsidR="00470146">
        <w:rPr>
          <w:rFonts w:eastAsia="Times New Roman" w:cs="Times New Roman"/>
          <w:sz w:val="18"/>
          <w:szCs w:val="18"/>
        </w:rPr>
        <w:t>jsou uvedeny v Obchodních podmínkách.</w:t>
      </w:r>
    </w:p>
    <w:p w14:paraId="6F997040" w14:textId="2144C283"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60645FC4" w14:textId="6D3F3485" w:rsidR="004A17ED" w:rsidRDefault="004A17ED" w:rsidP="004A17ED">
      <w:pPr>
        <w:pStyle w:val="Text1-1"/>
        <w:numPr>
          <w:ilvl w:val="0"/>
          <w:numId w:val="0"/>
        </w:numPr>
        <w:ind w:left="737"/>
        <w:rPr>
          <w:highlight w:val="green"/>
        </w:rPr>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 xml:space="preserve">písemného souhlasu Objednatele až do doby skončení poslední záruční doby (včetně veškerých prodloužení) převést svoji podnikatelskou činnost ani její část. Převodem podnikatelské činnosti se </w:t>
      </w:r>
      <w:r w:rsidRPr="007A4505">
        <w:lastRenderedPageBreak/>
        <w:t>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2C4C1269" w:rsidR="007D26F9" w:rsidRDefault="007D26F9" w:rsidP="00342DC7">
      <w:pPr>
        <w:pStyle w:val="Text1-1"/>
      </w:pPr>
      <w:r>
        <w:t xml:space="preserve">Tato Smlouva je vyhotovena </w:t>
      </w:r>
      <w:r w:rsidR="00A1019E">
        <w:t>elektronicky, každý elektronický obraz smlouvy má platnost originálu</w:t>
      </w:r>
      <w:r>
        <w:t>.</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w:t>
      </w:r>
      <w:r>
        <w:lastRenderedPageBreak/>
        <w:t>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3863E784" w:rsidR="007D26F9" w:rsidRDefault="007D26F9" w:rsidP="00342DC7">
      <w:pPr>
        <w:pStyle w:val="Textbezslovn"/>
      </w:pPr>
      <w:r w:rsidRPr="00A349C6">
        <w:rPr>
          <w:b/>
        </w:rPr>
        <w:t>Příloha č. 1:</w:t>
      </w:r>
      <w:r w:rsidR="008F7242">
        <w:t xml:space="preserve"> </w:t>
      </w:r>
      <w:r w:rsidR="008F7242">
        <w:tab/>
      </w:r>
      <w:r>
        <w:t xml:space="preserve">Obchodní podmínky – </w:t>
      </w:r>
      <w:r w:rsidR="003017D9">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43C5F05" w14:textId="5D84AACA" w:rsidR="003017D9" w:rsidRDefault="00F43D42" w:rsidP="00F43D42">
      <w:pPr>
        <w:pStyle w:val="Textbezslovn"/>
        <w:ind w:left="2127"/>
      </w:pPr>
      <w:r>
        <w:t xml:space="preserve">b) </w:t>
      </w:r>
      <w:r w:rsidR="003017D9">
        <w:t xml:space="preserve">Všeobecné technické podmínky </w:t>
      </w:r>
      <w:r w:rsidR="007D26F9">
        <w:t xml:space="preserve"> </w:t>
      </w:r>
    </w:p>
    <w:p w14:paraId="39613709" w14:textId="7A409978" w:rsidR="003017D9" w:rsidRDefault="003017D9" w:rsidP="00F43D42">
      <w:pPr>
        <w:pStyle w:val="Textbezslovn"/>
        <w:ind w:left="2127"/>
      </w:pPr>
      <w:r>
        <w:t>VTP/DOKUMENTACE/04/21</w:t>
      </w:r>
    </w:p>
    <w:p w14:paraId="2ECEEBBA" w14:textId="622ED2FE" w:rsidR="007D26F9" w:rsidRDefault="003017D9" w:rsidP="00F43D42">
      <w:pPr>
        <w:pStyle w:val="Textbezslovn"/>
        <w:ind w:left="2127"/>
      </w:pPr>
      <w:r>
        <w:t>VTP/R/15/21</w:t>
      </w:r>
    </w:p>
    <w:p w14:paraId="53360C92" w14:textId="23BB02EE" w:rsidR="007D26F9" w:rsidRDefault="00F43D42" w:rsidP="00F43D42">
      <w:pPr>
        <w:pStyle w:val="Textbezslovn"/>
        <w:ind w:left="2127"/>
      </w:pPr>
      <w:r>
        <w:t xml:space="preserve">c) </w:t>
      </w:r>
      <w:r w:rsidR="007D26F9">
        <w:t xml:space="preserve">Zvláštní technické podmínky </w:t>
      </w:r>
      <w:r w:rsidR="003017D9">
        <w:t>ze dne 01.10.2021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r w:rsidRPr="00BE5FD5">
        <w:rPr>
          <w:b/>
        </w:rPr>
        <w:t>č.10</w:t>
      </w:r>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62BE2DEC" w:rsidR="00F422D3" w:rsidRPr="00F43D42" w:rsidRDefault="003017D9" w:rsidP="009F0867">
      <w:pPr>
        <w:pStyle w:val="Textbezodsazen"/>
        <w:rPr>
          <w:b/>
        </w:rPr>
      </w:pPr>
      <w:r>
        <w:rPr>
          <w:b/>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65ECDA7E" w14:textId="535ADE82" w:rsidR="00342DC7" w:rsidRDefault="003017D9" w:rsidP="00342DC7">
      <w:pPr>
        <w:pStyle w:val="Textbezodsazen"/>
        <w:spacing w:after="0"/>
      </w:pPr>
      <w:r>
        <w:t>Ředitel Stavební správy západ</w:t>
      </w:r>
      <w:r w:rsidR="00342DC7">
        <w:tab/>
      </w:r>
      <w:r w:rsidR="00342DC7">
        <w:tab/>
      </w:r>
      <w:r w:rsidR="00342DC7">
        <w:tab/>
      </w:r>
      <w:r w:rsidR="00342DC7"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236168B1" w14:textId="41A53432" w:rsidR="00CB4F6D" w:rsidRDefault="003017D9" w:rsidP="00F762A8">
      <w:pPr>
        <w:pStyle w:val="Nadpisbezsl1-1"/>
      </w:pPr>
      <w:r>
        <w:lastRenderedPageBreak/>
        <w:t>PŘÍ</w:t>
      </w:r>
      <w:r w:rsidR="00CB4F6D">
        <w:t>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77777777" w:rsidR="007145F3" w:rsidRDefault="007145F3" w:rsidP="00CB4F6D">
      <w:pPr>
        <w:pStyle w:val="Textbezodsazen"/>
      </w:pPr>
    </w:p>
    <w:p w14:paraId="3042EE39" w14:textId="2C3F33CE" w:rsidR="007145F3" w:rsidRDefault="003017D9" w:rsidP="00CB4F6D">
      <w:pPr>
        <w:pStyle w:val="Textbezodsazen"/>
      </w:pPr>
      <w:r>
        <w:t>OP/P+R/25/21</w:t>
      </w: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2"/>
          <w:footerReference w:type="even" r:id="rId13"/>
          <w:footerReference w:type="default" r:id="rId14"/>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1CBB7BD" w14:textId="77777777" w:rsidR="003017D9" w:rsidRDefault="003017D9" w:rsidP="00342DC7">
      <w:pPr>
        <w:pStyle w:val="Odstavec1-1a"/>
        <w:rPr>
          <w:rStyle w:val="Tun"/>
        </w:rPr>
      </w:pPr>
      <w:r>
        <w:rPr>
          <w:rStyle w:val="Tun"/>
        </w:rPr>
        <w:t>Všeobecné technické podmínky</w:t>
      </w:r>
    </w:p>
    <w:p w14:paraId="714E2E3D" w14:textId="7EACF48A" w:rsidR="003017D9" w:rsidRDefault="003017D9" w:rsidP="003017D9">
      <w:pPr>
        <w:pStyle w:val="Textbezslovn"/>
      </w:pPr>
      <w:r>
        <w:t>VTP/DOKUMENTACE/04/21</w:t>
      </w:r>
    </w:p>
    <w:p w14:paraId="5F50BBF1" w14:textId="77777777" w:rsidR="003017D9" w:rsidRDefault="003017D9" w:rsidP="003017D9">
      <w:pPr>
        <w:pStyle w:val="Textbezslovn"/>
      </w:pPr>
      <w:r>
        <w:t>VTP/R/15/21</w:t>
      </w:r>
    </w:p>
    <w:p w14:paraId="13B99178" w14:textId="0EBD13AD" w:rsidR="00342DC7" w:rsidRPr="003017D9" w:rsidRDefault="00342DC7" w:rsidP="00342DC7">
      <w:pPr>
        <w:pStyle w:val="Odstavec1-1a"/>
        <w:rPr>
          <w:rStyle w:val="Tun"/>
        </w:rPr>
      </w:pPr>
      <w:r w:rsidRPr="00AE4B52">
        <w:rPr>
          <w:rStyle w:val="Tun"/>
        </w:rPr>
        <w:t xml:space="preserve">Zvláštní technické podmínky </w:t>
      </w:r>
      <w:r w:rsidR="003017D9" w:rsidRPr="003017D9">
        <w:rPr>
          <w:rStyle w:val="Tun"/>
        </w:rPr>
        <w:t>ze dne 01. 10.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4270DE9E" w14:textId="01B0C08E" w:rsidR="002D3591" w:rsidRDefault="009908FF" w:rsidP="00AE4B52">
      <w:pPr>
        <w:pStyle w:val="Odrka1-1"/>
      </w:pPr>
      <w:r>
        <w:t>Projektová dokumentace – předmětná část</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61F3BF3"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936A20">
        <w:rPr>
          <w:sz w:val="18"/>
          <w:szCs w:val="18"/>
          <w:highlight w:val="yellow"/>
        </w:rPr>
        <w:t>…</w:t>
      </w:r>
      <w:r w:rsidR="00936A20" w:rsidRPr="006A698D">
        <w:rPr>
          <w:sz w:val="18"/>
          <w:szCs w:val="18"/>
          <w:highlight w:val="yellow"/>
        </w:rPr>
        <w:t>VLOŽÍ ZHOTOVITEL</w:t>
      </w:r>
      <w:r w:rsidR="00936A20">
        <w:rPr>
          <w:sz w:val="18"/>
          <w:szCs w:val="18"/>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4"/>
          <w:footerReference w:type="default" r:id="rId25"/>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C8868DC" w14:textId="165771A5" w:rsidR="008928D0" w:rsidRPr="00F95FBD" w:rsidRDefault="00740EA9" w:rsidP="00D86204">
      <w:pPr>
        <w:pStyle w:val="Nadpistabulky"/>
        <w:rPr>
          <w:sz w:val="18"/>
          <w:szCs w:val="18"/>
        </w:rPr>
      </w:pPr>
      <w:r w:rsidRPr="00740EA9">
        <w:rPr>
          <w:sz w:val="18"/>
          <w:szCs w:val="18"/>
        </w:rPr>
        <w:t>specialista odpovědný za projektovou dokumentaci</w:t>
      </w:r>
    </w:p>
    <w:tbl>
      <w:tblPr>
        <w:tblStyle w:val="Tabulka10"/>
        <w:tblW w:w="8868" w:type="dxa"/>
        <w:tblLook w:val="04A0" w:firstRow="1" w:lastRow="0" w:firstColumn="1" w:lastColumn="0" w:noHBand="0" w:noVBand="1"/>
      </w:tblPr>
      <w:tblGrid>
        <w:gridCol w:w="3056"/>
        <w:gridCol w:w="5812"/>
      </w:tblGrid>
      <w:tr w:rsidR="008928D0" w:rsidRPr="00F95FBD" w14:paraId="13A8E452"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BACB8" w14:textId="77777777" w:rsidR="008928D0" w:rsidRPr="00F95FBD" w:rsidRDefault="008928D0" w:rsidP="008928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E8DDECB" w14:textId="77777777" w:rsidR="008928D0" w:rsidRPr="00F95FBD" w:rsidRDefault="008928D0" w:rsidP="008928D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253EA1D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4BD7B5" w14:textId="77777777" w:rsidR="008928D0" w:rsidRPr="00F95FBD" w:rsidRDefault="008928D0" w:rsidP="008928D0">
            <w:pPr>
              <w:pStyle w:val="Tabulka"/>
            </w:pPr>
            <w:r w:rsidRPr="00F95FBD">
              <w:t>Adresa</w:t>
            </w:r>
          </w:p>
        </w:tc>
        <w:tc>
          <w:tcPr>
            <w:tcW w:w="5812" w:type="dxa"/>
          </w:tcPr>
          <w:p w14:paraId="659F2440"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20CD1AF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ED4635D" w14:textId="77777777" w:rsidR="008928D0" w:rsidRPr="00F95FBD" w:rsidRDefault="008928D0" w:rsidP="008928D0">
            <w:pPr>
              <w:pStyle w:val="Tabulka"/>
            </w:pPr>
            <w:r w:rsidRPr="00F95FBD">
              <w:t>E-mail</w:t>
            </w:r>
          </w:p>
        </w:tc>
        <w:tc>
          <w:tcPr>
            <w:tcW w:w="5812" w:type="dxa"/>
          </w:tcPr>
          <w:p w14:paraId="64F4DCF2"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70431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7912509" w14:textId="77777777" w:rsidR="008928D0" w:rsidRPr="00F95FBD" w:rsidRDefault="008928D0" w:rsidP="008928D0">
            <w:pPr>
              <w:pStyle w:val="Tabulka"/>
            </w:pPr>
            <w:r w:rsidRPr="00F95FBD">
              <w:t>Telefon</w:t>
            </w:r>
          </w:p>
        </w:tc>
        <w:tc>
          <w:tcPr>
            <w:tcW w:w="5812" w:type="dxa"/>
          </w:tcPr>
          <w:p w14:paraId="1646D544"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CA4B02" w14:textId="77777777" w:rsidR="008928D0"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C0F7CF7"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ACFA6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0BE2DC4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8928D0" w:rsidRPr="00F95FBD" w:rsidRDefault="008928D0" w:rsidP="00D86204">
            <w:pPr>
              <w:pStyle w:val="Tabulka"/>
            </w:pPr>
            <w:r w:rsidRPr="00F95FBD">
              <w:t>Adresa</w:t>
            </w:r>
          </w:p>
        </w:tc>
        <w:tc>
          <w:tcPr>
            <w:tcW w:w="5812" w:type="dxa"/>
          </w:tcPr>
          <w:p w14:paraId="5BBA0F1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26F1B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8928D0" w:rsidRPr="00F95FBD" w:rsidRDefault="008928D0" w:rsidP="00D86204">
            <w:pPr>
              <w:pStyle w:val="Tabulka"/>
            </w:pPr>
            <w:r w:rsidRPr="00F95FBD">
              <w:t>E-mail</w:t>
            </w:r>
          </w:p>
        </w:tc>
        <w:tc>
          <w:tcPr>
            <w:tcW w:w="5812" w:type="dxa"/>
          </w:tcPr>
          <w:p w14:paraId="011D771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2552C0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8928D0" w:rsidRPr="00F95FBD" w:rsidRDefault="008928D0" w:rsidP="00D86204">
            <w:pPr>
              <w:pStyle w:val="Tabulka"/>
            </w:pPr>
            <w:r w:rsidRPr="00F95FBD">
              <w:t>Telefon</w:t>
            </w:r>
          </w:p>
        </w:tc>
        <w:tc>
          <w:tcPr>
            <w:tcW w:w="5812" w:type="dxa"/>
          </w:tcPr>
          <w:p w14:paraId="63AF2CC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87C830" w14:textId="77777777" w:rsidR="008928D0" w:rsidRPr="00F95FBD" w:rsidRDefault="008928D0" w:rsidP="00165977">
      <w:pPr>
        <w:pStyle w:val="Tabulka"/>
      </w:pPr>
    </w:p>
    <w:p w14:paraId="7C17AEA1" w14:textId="69E09379" w:rsidR="002038D5" w:rsidRPr="00F95FBD" w:rsidRDefault="00740EA9" w:rsidP="00165977">
      <w:pPr>
        <w:pStyle w:val="Nadpistabulky"/>
        <w:rPr>
          <w:sz w:val="18"/>
          <w:szCs w:val="18"/>
        </w:rPr>
      </w:pPr>
      <w:r w:rsidRPr="00740EA9">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11BCC76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93447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3B7156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4A9B0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B13CA" w14:textId="77777777" w:rsidR="002038D5" w:rsidRPr="00F95FBD" w:rsidRDefault="002038D5" w:rsidP="00165977">
            <w:pPr>
              <w:pStyle w:val="Tabulka"/>
            </w:pPr>
            <w:r w:rsidRPr="00F95FBD">
              <w:t>Adresa</w:t>
            </w:r>
          </w:p>
        </w:tc>
        <w:tc>
          <w:tcPr>
            <w:tcW w:w="5812" w:type="dxa"/>
          </w:tcPr>
          <w:p w14:paraId="7F72DD8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7DCAA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E8EA13" w14:textId="77777777" w:rsidR="002038D5" w:rsidRPr="00F95FBD" w:rsidRDefault="002038D5" w:rsidP="00165977">
            <w:pPr>
              <w:pStyle w:val="Tabulka"/>
            </w:pPr>
            <w:r w:rsidRPr="00F95FBD">
              <w:t>E-mail</w:t>
            </w:r>
          </w:p>
        </w:tc>
        <w:tc>
          <w:tcPr>
            <w:tcW w:w="5812" w:type="dxa"/>
          </w:tcPr>
          <w:p w14:paraId="7E68A48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1F6B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D363D1" w14:textId="77777777" w:rsidR="002038D5" w:rsidRPr="00F95FBD" w:rsidRDefault="002038D5" w:rsidP="00165977">
            <w:pPr>
              <w:pStyle w:val="Tabulka"/>
            </w:pPr>
            <w:r w:rsidRPr="00F95FBD">
              <w:t>Telefon</w:t>
            </w:r>
          </w:p>
        </w:tc>
        <w:tc>
          <w:tcPr>
            <w:tcW w:w="5812" w:type="dxa"/>
          </w:tcPr>
          <w:p w14:paraId="33A947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7AFD84" w14:textId="77777777" w:rsidR="008928D0" w:rsidRPr="00F95FBD" w:rsidRDefault="008928D0" w:rsidP="008928D0">
      <w:pPr>
        <w:pStyle w:val="Tabulka"/>
      </w:pPr>
    </w:p>
    <w:p w14:paraId="195C9C2E" w14:textId="4B762E7C" w:rsidR="008928D0" w:rsidRPr="00F95FBD" w:rsidRDefault="00740EA9" w:rsidP="008928D0">
      <w:pPr>
        <w:pStyle w:val="Nadpistabulky"/>
        <w:rPr>
          <w:sz w:val="18"/>
          <w:szCs w:val="18"/>
        </w:rPr>
      </w:pPr>
      <w:r w:rsidRPr="00740EA9">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8928D0" w:rsidRPr="00F95FBD" w14:paraId="3CB3A39D"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04FCE"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624311"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0D98D7F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989FF7" w14:textId="77777777" w:rsidR="008928D0" w:rsidRPr="00F95FBD" w:rsidRDefault="008928D0" w:rsidP="00D86204">
            <w:pPr>
              <w:pStyle w:val="Tabulka"/>
            </w:pPr>
            <w:r w:rsidRPr="00F95FBD">
              <w:t>Adresa</w:t>
            </w:r>
          </w:p>
        </w:tc>
        <w:tc>
          <w:tcPr>
            <w:tcW w:w="5812" w:type="dxa"/>
          </w:tcPr>
          <w:p w14:paraId="443DB014"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098D494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A108E0" w14:textId="77777777" w:rsidR="008928D0" w:rsidRPr="00F95FBD" w:rsidRDefault="008928D0" w:rsidP="00D86204">
            <w:pPr>
              <w:pStyle w:val="Tabulka"/>
            </w:pPr>
            <w:r w:rsidRPr="00F95FBD">
              <w:t>E-mail</w:t>
            </w:r>
          </w:p>
        </w:tc>
        <w:tc>
          <w:tcPr>
            <w:tcW w:w="5812" w:type="dxa"/>
          </w:tcPr>
          <w:p w14:paraId="2BDE486D"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4383A7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C40EDCE" w14:textId="77777777" w:rsidR="008928D0" w:rsidRPr="00F95FBD" w:rsidRDefault="008928D0" w:rsidP="00D86204">
            <w:pPr>
              <w:pStyle w:val="Tabulka"/>
            </w:pPr>
            <w:r w:rsidRPr="00F95FBD">
              <w:lastRenderedPageBreak/>
              <w:t>Telefon</w:t>
            </w:r>
          </w:p>
        </w:tc>
        <w:tc>
          <w:tcPr>
            <w:tcW w:w="5812" w:type="dxa"/>
          </w:tcPr>
          <w:p w14:paraId="31EFB67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27C066" w14:textId="77777777" w:rsidR="008928D0" w:rsidRPr="00F95FBD" w:rsidRDefault="008928D0" w:rsidP="008928D0">
      <w:pPr>
        <w:pStyle w:val="Tabulka"/>
      </w:pPr>
    </w:p>
    <w:p w14:paraId="6C0CC25F" w14:textId="3D00BA1F" w:rsidR="008928D0" w:rsidRPr="00F95FBD" w:rsidRDefault="00C82C49" w:rsidP="008928D0">
      <w:pPr>
        <w:pStyle w:val="Nadpistabulky"/>
        <w:rPr>
          <w:sz w:val="18"/>
          <w:szCs w:val="18"/>
        </w:rPr>
      </w:pPr>
      <w:r w:rsidRPr="00C82C49">
        <w:rPr>
          <w:sz w:val="18"/>
          <w:szCs w:val="18"/>
        </w:rPr>
        <w:t>specialista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8928D0" w:rsidRPr="00F95FBD" w14:paraId="2B0F9A13"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89B4FE"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DF13F20"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41C7515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09690AA" w14:textId="77777777" w:rsidR="008928D0" w:rsidRPr="00F95FBD" w:rsidRDefault="008928D0" w:rsidP="00D86204">
            <w:pPr>
              <w:pStyle w:val="Tabulka"/>
            </w:pPr>
            <w:r w:rsidRPr="00F95FBD">
              <w:t>Adresa</w:t>
            </w:r>
          </w:p>
        </w:tc>
        <w:tc>
          <w:tcPr>
            <w:tcW w:w="5812" w:type="dxa"/>
          </w:tcPr>
          <w:p w14:paraId="7B38815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42A5FDE"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688ED0C" w14:textId="77777777" w:rsidR="008928D0" w:rsidRPr="00F95FBD" w:rsidRDefault="008928D0" w:rsidP="00D86204">
            <w:pPr>
              <w:pStyle w:val="Tabulka"/>
            </w:pPr>
            <w:r w:rsidRPr="00F95FBD">
              <w:t>E-mail</w:t>
            </w:r>
          </w:p>
        </w:tc>
        <w:tc>
          <w:tcPr>
            <w:tcW w:w="5812" w:type="dxa"/>
          </w:tcPr>
          <w:p w14:paraId="1DFAA8C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06FC610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8ACA59B" w14:textId="77777777" w:rsidR="008928D0" w:rsidRPr="00F95FBD" w:rsidRDefault="008928D0" w:rsidP="00D86204">
            <w:pPr>
              <w:pStyle w:val="Tabulka"/>
            </w:pPr>
            <w:r w:rsidRPr="00F95FBD">
              <w:t>Telefon</w:t>
            </w:r>
          </w:p>
        </w:tc>
        <w:tc>
          <w:tcPr>
            <w:tcW w:w="5812" w:type="dxa"/>
          </w:tcPr>
          <w:p w14:paraId="725A22F7"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224632" w14:textId="77777777" w:rsidR="008928D0" w:rsidRPr="00F95FBD" w:rsidRDefault="008928D0" w:rsidP="008928D0">
      <w:pPr>
        <w:pStyle w:val="Tabulka"/>
      </w:pPr>
    </w:p>
    <w:p w14:paraId="1938BEF8" w14:textId="77777777" w:rsidR="008928D0" w:rsidRPr="00F95FBD" w:rsidRDefault="00CB1C6E" w:rsidP="008928D0">
      <w:pPr>
        <w:pStyle w:val="Nadpistabulky"/>
        <w:rPr>
          <w:sz w:val="18"/>
          <w:szCs w:val="18"/>
        </w:rPr>
      </w:pPr>
      <w:r>
        <w:rPr>
          <w:sz w:val="18"/>
          <w:szCs w:val="18"/>
        </w:rPr>
        <w:t>O</w:t>
      </w:r>
      <w:r w:rsidRPr="00CB1C6E">
        <w:rPr>
          <w:sz w:val="18"/>
          <w:szCs w:val="18"/>
        </w:rPr>
        <w:t>soba odpovědná za kontrolu kvality</w:t>
      </w:r>
    </w:p>
    <w:tbl>
      <w:tblPr>
        <w:tblStyle w:val="Tabulka10"/>
        <w:tblW w:w="8868" w:type="dxa"/>
        <w:tblLook w:val="04A0" w:firstRow="1" w:lastRow="0" w:firstColumn="1" w:lastColumn="0" w:noHBand="0" w:noVBand="1"/>
      </w:tblPr>
      <w:tblGrid>
        <w:gridCol w:w="3056"/>
        <w:gridCol w:w="5812"/>
      </w:tblGrid>
      <w:tr w:rsidR="008928D0" w:rsidRPr="00F95FBD" w14:paraId="711462B0"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02F960"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25A413"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7A4C8D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61AE875" w14:textId="77777777" w:rsidR="008928D0" w:rsidRPr="00F95FBD" w:rsidRDefault="008928D0" w:rsidP="00D86204">
            <w:pPr>
              <w:pStyle w:val="Tabulka"/>
            </w:pPr>
            <w:r w:rsidRPr="00F95FBD">
              <w:t>Adresa</w:t>
            </w:r>
          </w:p>
        </w:tc>
        <w:tc>
          <w:tcPr>
            <w:tcW w:w="5812" w:type="dxa"/>
          </w:tcPr>
          <w:p w14:paraId="4154A759"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4DB21C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7B8B858" w14:textId="77777777" w:rsidR="008928D0" w:rsidRPr="00F95FBD" w:rsidRDefault="008928D0" w:rsidP="00D86204">
            <w:pPr>
              <w:pStyle w:val="Tabulka"/>
            </w:pPr>
            <w:r w:rsidRPr="00F95FBD">
              <w:t>E-mail</w:t>
            </w:r>
          </w:p>
        </w:tc>
        <w:tc>
          <w:tcPr>
            <w:tcW w:w="5812" w:type="dxa"/>
          </w:tcPr>
          <w:p w14:paraId="4484C735"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00049B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5ABD437" w14:textId="77777777" w:rsidR="008928D0" w:rsidRPr="00F95FBD" w:rsidRDefault="008928D0" w:rsidP="00D86204">
            <w:pPr>
              <w:pStyle w:val="Tabulka"/>
            </w:pPr>
            <w:r w:rsidRPr="00F95FBD">
              <w:t>Telefon</w:t>
            </w:r>
          </w:p>
        </w:tc>
        <w:tc>
          <w:tcPr>
            <w:tcW w:w="5812" w:type="dxa"/>
          </w:tcPr>
          <w:p w14:paraId="3BF924A9"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183DDC" w14:textId="77777777" w:rsidR="008928D0" w:rsidRPr="00F95FBD" w:rsidRDefault="008928D0" w:rsidP="008928D0">
      <w:pPr>
        <w:pStyle w:val="Tabulka"/>
      </w:pPr>
    </w:p>
    <w:p w14:paraId="6B09CEA0" w14:textId="77777777" w:rsidR="008928D0" w:rsidRPr="00F95FBD" w:rsidRDefault="00CB1C6E" w:rsidP="008928D0">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928D0" w:rsidRPr="00F95FBD" w14:paraId="756ED1E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48C8AF"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47C574"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30524BA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7784265" w14:textId="77777777" w:rsidR="008928D0" w:rsidRPr="00F95FBD" w:rsidRDefault="008928D0" w:rsidP="00D86204">
            <w:pPr>
              <w:pStyle w:val="Tabulka"/>
            </w:pPr>
            <w:r w:rsidRPr="00F95FBD">
              <w:t>Adresa</w:t>
            </w:r>
          </w:p>
        </w:tc>
        <w:tc>
          <w:tcPr>
            <w:tcW w:w="5812" w:type="dxa"/>
          </w:tcPr>
          <w:p w14:paraId="1B97F9A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F8A13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02CE510" w14:textId="77777777" w:rsidR="008928D0" w:rsidRPr="00F95FBD" w:rsidRDefault="008928D0" w:rsidP="00D86204">
            <w:pPr>
              <w:pStyle w:val="Tabulka"/>
            </w:pPr>
            <w:r w:rsidRPr="00F95FBD">
              <w:t>E-mail</w:t>
            </w:r>
          </w:p>
        </w:tc>
        <w:tc>
          <w:tcPr>
            <w:tcW w:w="5812" w:type="dxa"/>
          </w:tcPr>
          <w:p w14:paraId="355C74C6"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F0DBD6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4E0AFA" w14:textId="77777777" w:rsidR="008928D0" w:rsidRPr="00F95FBD" w:rsidRDefault="008928D0" w:rsidP="00D86204">
            <w:pPr>
              <w:pStyle w:val="Tabulka"/>
            </w:pPr>
            <w:r w:rsidRPr="00F95FBD">
              <w:t>Telefon</w:t>
            </w:r>
          </w:p>
        </w:tc>
        <w:tc>
          <w:tcPr>
            <w:tcW w:w="5812" w:type="dxa"/>
          </w:tcPr>
          <w:p w14:paraId="7C08220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82369" w14:textId="77777777" w:rsidR="00CB1C6E" w:rsidRPr="00F95FBD" w:rsidRDefault="00CB1C6E" w:rsidP="00CB1C6E">
      <w:pPr>
        <w:pStyle w:val="Tabulka"/>
      </w:pPr>
    </w:p>
    <w:p w14:paraId="7703DA0C" w14:textId="77777777" w:rsidR="00C82C49" w:rsidRPr="00F95FBD" w:rsidRDefault="00C82C49" w:rsidP="00C82C4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C82C49" w:rsidRPr="00F95FBD" w14:paraId="00B1DD0D" w14:textId="77777777" w:rsidTr="00193F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D0E7C8" w14:textId="77777777" w:rsidR="00C82C49" w:rsidRPr="00F95FBD" w:rsidRDefault="00C82C49" w:rsidP="00193FF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E58D361" w14:textId="77777777" w:rsidR="00C82C49" w:rsidRPr="00F95FBD" w:rsidRDefault="00C82C49" w:rsidP="00193FF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82C49" w:rsidRPr="00F95FBD" w14:paraId="71DACF97" w14:textId="77777777" w:rsidTr="00193FFA">
        <w:tc>
          <w:tcPr>
            <w:cnfStyle w:val="001000000000" w:firstRow="0" w:lastRow="0" w:firstColumn="1" w:lastColumn="0" w:oddVBand="0" w:evenVBand="0" w:oddHBand="0" w:evenHBand="0" w:firstRowFirstColumn="0" w:firstRowLastColumn="0" w:lastRowFirstColumn="0" w:lastRowLastColumn="0"/>
            <w:tcW w:w="3056" w:type="dxa"/>
          </w:tcPr>
          <w:p w14:paraId="4279E0AA" w14:textId="77777777" w:rsidR="00C82C49" w:rsidRPr="00F95FBD" w:rsidRDefault="00C82C49" w:rsidP="00193FFA">
            <w:pPr>
              <w:pStyle w:val="Tabulka"/>
            </w:pPr>
            <w:r w:rsidRPr="00F95FBD">
              <w:t>Adresa</w:t>
            </w:r>
          </w:p>
        </w:tc>
        <w:tc>
          <w:tcPr>
            <w:tcW w:w="5812" w:type="dxa"/>
          </w:tcPr>
          <w:p w14:paraId="58ACA24A" w14:textId="77777777" w:rsidR="00C82C49" w:rsidRPr="00F95FBD" w:rsidRDefault="00C82C49" w:rsidP="00193FF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82C49" w:rsidRPr="00F95FBD" w14:paraId="16B1F657" w14:textId="77777777" w:rsidTr="00193FFA">
        <w:tc>
          <w:tcPr>
            <w:cnfStyle w:val="001000000000" w:firstRow="0" w:lastRow="0" w:firstColumn="1" w:lastColumn="0" w:oddVBand="0" w:evenVBand="0" w:oddHBand="0" w:evenHBand="0" w:firstRowFirstColumn="0" w:firstRowLastColumn="0" w:lastRowFirstColumn="0" w:lastRowLastColumn="0"/>
            <w:tcW w:w="3056" w:type="dxa"/>
          </w:tcPr>
          <w:p w14:paraId="725AC478" w14:textId="77777777" w:rsidR="00C82C49" w:rsidRPr="00F95FBD" w:rsidRDefault="00C82C49" w:rsidP="00193FFA">
            <w:pPr>
              <w:pStyle w:val="Tabulka"/>
            </w:pPr>
            <w:r w:rsidRPr="00F95FBD">
              <w:t>E-mail</w:t>
            </w:r>
          </w:p>
        </w:tc>
        <w:tc>
          <w:tcPr>
            <w:tcW w:w="5812" w:type="dxa"/>
          </w:tcPr>
          <w:p w14:paraId="1F303019" w14:textId="77777777" w:rsidR="00C82C49" w:rsidRPr="00F95FBD" w:rsidRDefault="00C82C49" w:rsidP="00193FF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82C49" w:rsidRPr="00F95FBD" w14:paraId="173615ED" w14:textId="77777777" w:rsidTr="00193FFA">
        <w:tc>
          <w:tcPr>
            <w:cnfStyle w:val="001000000000" w:firstRow="0" w:lastRow="0" w:firstColumn="1" w:lastColumn="0" w:oddVBand="0" w:evenVBand="0" w:oddHBand="0" w:evenHBand="0" w:firstRowFirstColumn="0" w:firstRowLastColumn="0" w:lastRowFirstColumn="0" w:lastRowLastColumn="0"/>
            <w:tcW w:w="3056" w:type="dxa"/>
          </w:tcPr>
          <w:p w14:paraId="4444377B" w14:textId="77777777" w:rsidR="00C82C49" w:rsidRPr="00F95FBD" w:rsidRDefault="00C82C49" w:rsidP="00193FFA">
            <w:pPr>
              <w:pStyle w:val="Tabulka"/>
            </w:pPr>
            <w:r w:rsidRPr="00F95FBD">
              <w:t>Telefon</w:t>
            </w:r>
          </w:p>
        </w:tc>
        <w:tc>
          <w:tcPr>
            <w:tcW w:w="5812" w:type="dxa"/>
          </w:tcPr>
          <w:p w14:paraId="0811354A" w14:textId="77777777" w:rsidR="00C82C49" w:rsidRPr="00F95FBD" w:rsidRDefault="00C82C49" w:rsidP="00193FF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FBB674" w14:textId="77777777" w:rsidR="00DF2BFF" w:rsidRDefault="00DF2BFF" w:rsidP="00CB1C6E">
      <w:pPr>
        <w:pStyle w:val="Tabulka"/>
      </w:pPr>
    </w:p>
    <w:p w14:paraId="03A4B3DD" w14:textId="77777777" w:rsidR="00D41CFE" w:rsidRPr="00F95FBD" w:rsidRDefault="00C240B6" w:rsidP="00D41CFE">
      <w:pPr>
        <w:pStyle w:val="Nadpistabulky"/>
        <w:rPr>
          <w:sz w:val="18"/>
          <w:szCs w:val="18"/>
        </w:rPr>
      </w:pPr>
      <w:r>
        <w:rPr>
          <w:sz w:val="18"/>
          <w:szCs w:val="18"/>
        </w:rPr>
        <w:t>Ú</w:t>
      </w:r>
      <w:r w:rsidRPr="00CB1C6E">
        <w:rPr>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D41CFE" w:rsidRPr="00F95FBD" w14:paraId="019139A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4D84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93B434A"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3B7C4F8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5CEE31" w14:textId="77777777" w:rsidR="00D41CFE" w:rsidRPr="00F95FBD" w:rsidRDefault="00D41CFE" w:rsidP="00D86204">
            <w:pPr>
              <w:pStyle w:val="Tabulka"/>
            </w:pPr>
            <w:r w:rsidRPr="00F95FBD">
              <w:t>Adresa</w:t>
            </w:r>
          </w:p>
        </w:tc>
        <w:tc>
          <w:tcPr>
            <w:tcW w:w="5812" w:type="dxa"/>
          </w:tcPr>
          <w:p w14:paraId="772AAEA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00B953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04EEA7" w14:textId="77777777" w:rsidR="00D41CFE" w:rsidRPr="00F95FBD" w:rsidRDefault="00D41CFE" w:rsidP="00D86204">
            <w:pPr>
              <w:pStyle w:val="Tabulka"/>
            </w:pPr>
            <w:r w:rsidRPr="00F95FBD">
              <w:t>E-mail</w:t>
            </w:r>
          </w:p>
        </w:tc>
        <w:tc>
          <w:tcPr>
            <w:tcW w:w="5812" w:type="dxa"/>
          </w:tcPr>
          <w:p w14:paraId="77443E0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6008D1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76730C6" w14:textId="77777777" w:rsidR="00D41CFE" w:rsidRPr="00F95FBD" w:rsidRDefault="00D41CFE" w:rsidP="00D86204">
            <w:pPr>
              <w:pStyle w:val="Tabulka"/>
            </w:pPr>
            <w:r w:rsidRPr="00F95FBD">
              <w:t>Telefon</w:t>
            </w:r>
          </w:p>
        </w:tc>
        <w:tc>
          <w:tcPr>
            <w:tcW w:w="5812" w:type="dxa"/>
          </w:tcPr>
          <w:p w14:paraId="3CC6E9B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77777777" w:rsidR="007C5289" w:rsidRPr="00F95FBD" w:rsidRDefault="007C5289" w:rsidP="007C5289">
      <w:pPr>
        <w:pStyle w:val="Tabulka"/>
      </w:pPr>
    </w:p>
    <w:p w14:paraId="57F348AD" w14:textId="673D9316"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sdělovacího</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7C5289" w:rsidRPr="00F95FBD" w14:paraId="1E8B1F2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805E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47BF8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AE232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783E5" w14:textId="77777777" w:rsidR="007C5289" w:rsidRPr="00F95FBD" w:rsidRDefault="007C5289" w:rsidP="003149C0">
            <w:pPr>
              <w:pStyle w:val="Tabulka"/>
            </w:pPr>
            <w:r w:rsidRPr="00F95FBD">
              <w:t>Adresa</w:t>
            </w:r>
          </w:p>
        </w:tc>
        <w:tc>
          <w:tcPr>
            <w:tcW w:w="5812" w:type="dxa"/>
          </w:tcPr>
          <w:p w14:paraId="1ECBC8C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94AA6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C90751" w14:textId="77777777" w:rsidR="007C5289" w:rsidRPr="00F95FBD" w:rsidRDefault="007C5289" w:rsidP="003149C0">
            <w:pPr>
              <w:pStyle w:val="Tabulka"/>
            </w:pPr>
            <w:r w:rsidRPr="00F95FBD">
              <w:t>E-mail</w:t>
            </w:r>
          </w:p>
        </w:tc>
        <w:tc>
          <w:tcPr>
            <w:tcW w:w="5812" w:type="dxa"/>
          </w:tcPr>
          <w:p w14:paraId="152A78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10A5B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DFFBFD" w14:textId="77777777" w:rsidR="007C5289" w:rsidRPr="00F95FBD" w:rsidRDefault="007C5289" w:rsidP="003149C0">
            <w:pPr>
              <w:pStyle w:val="Tabulka"/>
            </w:pPr>
            <w:r w:rsidRPr="00F95FBD">
              <w:t>Telefon</w:t>
            </w:r>
          </w:p>
        </w:tc>
        <w:tc>
          <w:tcPr>
            <w:tcW w:w="5812" w:type="dxa"/>
          </w:tcPr>
          <w:p w14:paraId="2ED308E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77777777" w:rsidR="007C5289" w:rsidRPr="00F95FBD" w:rsidRDefault="007C5289" w:rsidP="007C5289">
      <w:pPr>
        <w:pStyle w:val="Tabulka"/>
      </w:pPr>
    </w:p>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380412" w:rsidRDefault="007C5289" w:rsidP="007C5289">
            <w:pPr>
              <w:pStyle w:val="Tabulka"/>
            </w:pPr>
            <w:r w:rsidRPr="00380412">
              <w:t xml:space="preserve">Pojištění odpovědnosti za škodu způsobenou Zhotovitelem při výkonu podnikatelské činnosti třetím osobám </w:t>
            </w:r>
          </w:p>
        </w:tc>
        <w:tc>
          <w:tcPr>
            <w:tcW w:w="4536" w:type="dxa"/>
          </w:tcPr>
          <w:p w14:paraId="76940D55" w14:textId="2FC47A91" w:rsidR="007C5289" w:rsidRPr="007C5289" w:rsidRDefault="007C5289" w:rsidP="00380412">
            <w:pPr>
              <w:pStyle w:val="Tabulka"/>
              <w:cnfStyle w:val="000000000000" w:firstRow="0" w:lastRow="0" w:firstColumn="0" w:lastColumn="0" w:oddVBand="0" w:evenVBand="0" w:oddHBand="0" w:evenHBand="0" w:firstRowFirstColumn="0" w:firstRowLastColumn="0" w:lastRowFirstColumn="0" w:lastRowLastColumn="0"/>
            </w:pPr>
            <w:r w:rsidRPr="00380412">
              <w:t xml:space="preserve">Minimálně </w:t>
            </w:r>
            <w:r w:rsidR="00380412" w:rsidRPr="00380412">
              <w:t xml:space="preserve">10 </w:t>
            </w:r>
            <w:r w:rsidRPr="00380412">
              <w:t>mil. Kč na jednu pojistnou událost</w:t>
            </w:r>
            <w:r w:rsidR="00A349C6" w:rsidRPr="00380412">
              <w:t xml:space="preserve"> a </w:t>
            </w:r>
            <w:r w:rsidR="00380412" w:rsidRPr="00380412">
              <w:t>30</w:t>
            </w:r>
            <w:r w:rsidRPr="00380412">
              <w:t xml:space="preserve"> mil. Kč</w:t>
            </w:r>
            <w:r w:rsidR="00A349C6" w:rsidRPr="00380412">
              <w:t xml:space="preserve"> v </w:t>
            </w:r>
            <w:r w:rsidRPr="00380412">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88"/>
        <w:gridCol w:w="4298"/>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z toho :</w:t>
            </w:r>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516"/>
        <w:gridCol w:w="4270"/>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68"/>
        <w:gridCol w:w="2909"/>
        <w:gridCol w:w="2909"/>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97"/>
        <w:gridCol w:w="2864"/>
        <w:gridCol w:w="2925"/>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r w:rsidRPr="00D4031F">
              <w:rPr>
                <w:rFonts w:eastAsia="Times New Roman"/>
                <w:b/>
                <w:bCs/>
                <w:sz w:val="18"/>
                <w:szCs w:val="18"/>
              </w:rPr>
              <w:t>xxx</w:t>
            </w:r>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408"/>
        <w:gridCol w:w="4378"/>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64"/>
        <w:gridCol w:w="4322"/>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BF07E" w14:textId="77777777" w:rsidR="00F31D02" w:rsidRDefault="00F31D02" w:rsidP="00962258">
      <w:pPr>
        <w:spacing w:after="0" w:line="240" w:lineRule="auto"/>
      </w:pPr>
      <w:r>
        <w:separator/>
      </w:r>
    </w:p>
  </w:endnote>
  <w:endnote w:type="continuationSeparator" w:id="0">
    <w:p w14:paraId="5C1B1D36" w14:textId="77777777" w:rsidR="00F31D02" w:rsidRDefault="00F31D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3912" w:rsidRPr="003462EB" w14:paraId="642DC659" w14:textId="77777777" w:rsidTr="00F13FDA">
      <w:tc>
        <w:tcPr>
          <w:tcW w:w="1021" w:type="dxa"/>
          <w:vAlign w:val="bottom"/>
        </w:tcPr>
        <w:p w14:paraId="05B06B54" w14:textId="0BDF02E2" w:rsidR="00FB3912" w:rsidRPr="00B8518B" w:rsidRDefault="00FB39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B2EFF">
            <w:rPr>
              <w:rStyle w:val="slostrnky"/>
              <w:noProof/>
            </w:rPr>
            <w:t>9</w:t>
          </w:r>
          <w:r>
            <w:rPr>
              <w:rStyle w:val="slostrnky"/>
            </w:rPr>
            <w:fldChar w:fldCharType="end"/>
          </w:r>
        </w:p>
      </w:tc>
      <w:tc>
        <w:tcPr>
          <w:tcW w:w="0" w:type="auto"/>
          <w:vAlign w:val="bottom"/>
        </w:tcPr>
        <w:p w14:paraId="5C122E16" w14:textId="77777777" w:rsidR="00FB3912" w:rsidRPr="00DD4862" w:rsidRDefault="00FB3912" w:rsidP="00F13FDA">
          <w:pPr>
            <w:pStyle w:val="Zpatvlevo"/>
            <w:rPr>
              <w:b/>
            </w:rPr>
          </w:pPr>
          <w:r w:rsidRPr="00DD4862">
            <w:rPr>
              <w:b/>
            </w:rPr>
            <w:t>Příloha č. 1</w:t>
          </w:r>
        </w:p>
        <w:p w14:paraId="407EE127" w14:textId="77777777" w:rsidR="00FB3912" w:rsidRDefault="00FB3912" w:rsidP="00F13FDA">
          <w:pPr>
            <w:pStyle w:val="Zpatvlevo"/>
          </w:pPr>
          <w:r w:rsidRPr="00B41CFD">
            <w:t>Smlouva o dílo</w:t>
          </w:r>
        </w:p>
        <w:p w14:paraId="5E9062DE" w14:textId="77777777" w:rsidR="00FB3912" w:rsidRPr="003462EB" w:rsidRDefault="00FB3912" w:rsidP="00F13FDA">
          <w:pPr>
            <w:pStyle w:val="Zpatvlevo"/>
          </w:pPr>
          <w:r>
            <w:t>Z</w:t>
          </w:r>
          <w:r w:rsidRPr="00B63BD1">
            <w:t>hotovení Projektové dokumentace a stavby</w:t>
          </w:r>
        </w:p>
      </w:tc>
    </w:tr>
  </w:tbl>
  <w:p w14:paraId="4B1F2D28" w14:textId="77777777" w:rsidR="00FB3912" w:rsidRPr="00F13FDA" w:rsidRDefault="00FB391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3912" w:rsidRPr="009E09BE" w14:paraId="4C440C92" w14:textId="77777777" w:rsidTr="00934B6B">
      <w:tc>
        <w:tcPr>
          <w:tcW w:w="0" w:type="auto"/>
          <w:tcMar>
            <w:left w:w="0" w:type="dxa"/>
            <w:right w:w="0" w:type="dxa"/>
          </w:tcMar>
          <w:vAlign w:val="bottom"/>
        </w:tcPr>
        <w:p w14:paraId="5EB37122" w14:textId="77777777" w:rsidR="00FB3912" w:rsidRPr="00DD4862" w:rsidRDefault="00FB3912" w:rsidP="00934B6B">
          <w:pPr>
            <w:pStyle w:val="Zpatvpravo"/>
            <w:rPr>
              <w:b/>
            </w:rPr>
          </w:pPr>
          <w:r w:rsidRPr="00DD4862">
            <w:rPr>
              <w:b/>
            </w:rPr>
            <w:t xml:space="preserve">Příloha č. </w:t>
          </w:r>
          <w:r>
            <w:rPr>
              <w:b/>
            </w:rPr>
            <w:t>5</w:t>
          </w:r>
        </w:p>
        <w:p w14:paraId="25080FD4" w14:textId="77777777" w:rsidR="00FB3912" w:rsidRPr="003462EB" w:rsidRDefault="00FB3912" w:rsidP="00934B6B">
          <w:pPr>
            <w:pStyle w:val="Zpatvpravo"/>
          </w:pPr>
          <w:r>
            <w:t>Smlouva o dílo</w:t>
          </w:r>
        </w:p>
        <w:p w14:paraId="4153EFC3" w14:textId="77777777" w:rsidR="00FB3912" w:rsidRPr="003462EB" w:rsidRDefault="00FB3912"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066A42CC" w:rsidR="00FB3912" w:rsidRPr="009E09BE" w:rsidRDefault="00FB39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EFF">
            <w:rPr>
              <w:rStyle w:val="slostrnky"/>
              <w:noProof/>
            </w:rPr>
            <w:t>1</w:t>
          </w:r>
          <w:r>
            <w:rPr>
              <w:rStyle w:val="slostrnky"/>
            </w:rPr>
            <w:fldChar w:fldCharType="end"/>
          </w:r>
        </w:p>
      </w:tc>
    </w:tr>
  </w:tbl>
  <w:p w14:paraId="69A3209E" w14:textId="77777777" w:rsidR="00FB3912" w:rsidRPr="00B8518B" w:rsidRDefault="00FB391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3912" w:rsidRPr="003462EB" w14:paraId="0B4FB1A6" w14:textId="77777777" w:rsidTr="00F13FDA">
      <w:tc>
        <w:tcPr>
          <w:tcW w:w="1021" w:type="dxa"/>
          <w:vAlign w:val="bottom"/>
        </w:tcPr>
        <w:p w14:paraId="3EFBE15C" w14:textId="014299CD" w:rsidR="00FB3912" w:rsidRPr="00B8518B" w:rsidRDefault="00FB39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B2EFF">
            <w:rPr>
              <w:rStyle w:val="slostrnky"/>
              <w:noProof/>
            </w:rPr>
            <w:t>5</w:t>
          </w:r>
          <w:r>
            <w:rPr>
              <w:rStyle w:val="slostrnky"/>
            </w:rPr>
            <w:fldChar w:fldCharType="end"/>
          </w:r>
        </w:p>
      </w:tc>
      <w:tc>
        <w:tcPr>
          <w:tcW w:w="0" w:type="auto"/>
          <w:vAlign w:val="bottom"/>
        </w:tcPr>
        <w:p w14:paraId="60015924" w14:textId="77777777" w:rsidR="00FB3912" w:rsidRPr="00DD4862" w:rsidRDefault="00FB3912" w:rsidP="00F13FDA">
          <w:pPr>
            <w:pStyle w:val="Zpatvlevo"/>
            <w:rPr>
              <w:b/>
            </w:rPr>
          </w:pPr>
          <w:r>
            <w:rPr>
              <w:b/>
            </w:rPr>
            <w:t>Příloha č. 6</w:t>
          </w:r>
        </w:p>
        <w:p w14:paraId="2EC5A84D" w14:textId="77777777" w:rsidR="00FB3912" w:rsidRDefault="00FB3912" w:rsidP="00F13FDA">
          <w:pPr>
            <w:pStyle w:val="Zpatvlevo"/>
          </w:pPr>
          <w:r w:rsidRPr="00B41CFD">
            <w:t>Smlouva o dílo</w:t>
          </w:r>
        </w:p>
        <w:p w14:paraId="6FD64CDD" w14:textId="77777777" w:rsidR="00FB3912" w:rsidRPr="003462EB" w:rsidRDefault="00FB3912" w:rsidP="00F13FDA">
          <w:pPr>
            <w:pStyle w:val="Zpatvlevo"/>
          </w:pPr>
          <w:r>
            <w:t>Z</w:t>
          </w:r>
          <w:r w:rsidRPr="00B63BD1">
            <w:t>hotovení Projektové dokumentace a stavby</w:t>
          </w:r>
        </w:p>
      </w:tc>
    </w:tr>
  </w:tbl>
  <w:p w14:paraId="0B5EEE6C" w14:textId="77777777" w:rsidR="00FB3912" w:rsidRPr="00F13FDA" w:rsidRDefault="00FB3912">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3912" w:rsidRPr="009E09BE" w14:paraId="076217E4" w14:textId="77777777" w:rsidTr="00934B6B">
      <w:tc>
        <w:tcPr>
          <w:tcW w:w="0" w:type="auto"/>
          <w:tcMar>
            <w:left w:w="0" w:type="dxa"/>
            <w:right w:w="0" w:type="dxa"/>
          </w:tcMar>
          <w:vAlign w:val="bottom"/>
        </w:tcPr>
        <w:p w14:paraId="528DFA01" w14:textId="77777777" w:rsidR="00FB3912" w:rsidRPr="00DD4862" w:rsidRDefault="00FB3912" w:rsidP="00934B6B">
          <w:pPr>
            <w:pStyle w:val="Zpatvpravo"/>
            <w:rPr>
              <w:b/>
            </w:rPr>
          </w:pPr>
          <w:r w:rsidRPr="00DD4862">
            <w:rPr>
              <w:b/>
            </w:rPr>
            <w:t xml:space="preserve">Příloha č. </w:t>
          </w:r>
          <w:r>
            <w:rPr>
              <w:b/>
            </w:rPr>
            <w:t>6</w:t>
          </w:r>
        </w:p>
        <w:p w14:paraId="2BBCE469" w14:textId="77777777" w:rsidR="00FB3912" w:rsidRPr="003462EB" w:rsidRDefault="00FB3912" w:rsidP="00934B6B">
          <w:pPr>
            <w:pStyle w:val="Zpatvpravo"/>
          </w:pPr>
          <w:r>
            <w:t>Smlouva o dílo</w:t>
          </w:r>
        </w:p>
        <w:p w14:paraId="08936724" w14:textId="77777777" w:rsidR="00FB3912" w:rsidRPr="003462EB" w:rsidRDefault="00FB3912"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696C48C7" w:rsidR="00FB3912" w:rsidRPr="009E09BE" w:rsidRDefault="00FB39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EFF">
            <w:rPr>
              <w:rStyle w:val="slostrnky"/>
              <w:noProof/>
            </w:rPr>
            <w:t>5</w:t>
          </w:r>
          <w:r>
            <w:rPr>
              <w:rStyle w:val="slostrnky"/>
            </w:rPr>
            <w:fldChar w:fldCharType="end"/>
          </w:r>
        </w:p>
      </w:tc>
    </w:tr>
  </w:tbl>
  <w:p w14:paraId="593B45D1" w14:textId="77777777" w:rsidR="00FB3912" w:rsidRPr="00B8518B" w:rsidRDefault="00FB391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3912" w:rsidRPr="003462EB" w14:paraId="475B86B7" w14:textId="77777777" w:rsidTr="00F13FDA">
      <w:tc>
        <w:tcPr>
          <w:tcW w:w="1021" w:type="dxa"/>
          <w:vAlign w:val="bottom"/>
        </w:tcPr>
        <w:p w14:paraId="4168F800" w14:textId="77777777" w:rsidR="00FB3912" w:rsidRPr="00B8518B" w:rsidRDefault="00FB39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FB3912" w:rsidRPr="00DD4862" w:rsidRDefault="00FB3912" w:rsidP="00F13FDA">
          <w:pPr>
            <w:pStyle w:val="Zpatvlevo"/>
            <w:rPr>
              <w:b/>
            </w:rPr>
          </w:pPr>
          <w:r>
            <w:rPr>
              <w:b/>
            </w:rPr>
            <w:t>Příloha č. 7</w:t>
          </w:r>
        </w:p>
        <w:p w14:paraId="393A5AA8" w14:textId="77777777" w:rsidR="00FB3912" w:rsidRDefault="00FB3912" w:rsidP="00F13FDA">
          <w:pPr>
            <w:pStyle w:val="Zpatvlevo"/>
          </w:pPr>
          <w:r w:rsidRPr="00B41CFD">
            <w:t>Smlouva o dílo</w:t>
          </w:r>
        </w:p>
        <w:p w14:paraId="0EB4C0F7" w14:textId="77777777" w:rsidR="00FB3912" w:rsidRPr="003462EB" w:rsidRDefault="00FB3912" w:rsidP="00F13FDA">
          <w:pPr>
            <w:pStyle w:val="Zpatvlevo"/>
          </w:pPr>
          <w:r>
            <w:t>Z</w:t>
          </w:r>
          <w:r w:rsidRPr="00B63BD1">
            <w:t>hotovení Projektové dokumentace a stavby</w:t>
          </w:r>
        </w:p>
      </w:tc>
    </w:tr>
  </w:tbl>
  <w:p w14:paraId="1D4C0328" w14:textId="77777777" w:rsidR="00FB3912" w:rsidRPr="00F13FDA" w:rsidRDefault="00FB3912">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3912" w:rsidRPr="009E09BE" w14:paraId="376722D6" w14:textId="77777777" w:rsidTr="00934B6B">
      <w:tc>
        <w:tcPr>
          <w:tcW w:w="0" w:type="auto"/>
          <w:tcMar>
            <w:left w:w="0" w:type="dxa"/>
            <w:right w:w="0" w:type="dxa"/>
          </w:tcMar>
          <w:vAlign w:val="bottom"/>
        </w:tcPr>
        <w:p w14:paraId="177BD19C" w14:textId="77777777" w:rsidR="00FB3912" w:rsidRPr="00DD4862" w:rsidRDefault="00FB3912" w:rsidP="00934B6B">
          <w:pPr>
            <w:pStyle w:val="Zpatvpravo"/>
            <w:rPr>
              <w:b/>
            </w:rPr>
          </w:pPr>
          <w:r w:rsidRPr="00DD4862">
            <w:rPr>
              <w:b/>
            </w:rPr>
            <w:t xml:space="preserve">Příloha č. </w:t>
          </w:r>
          <w:r>
            <w:rPr>
              <w:b/>
            </w:rPr>
            <w:t>7</w:t>
          </w:r>
        </w:p>
        <w:p w14:paraId="0425195A" w14:textId="77777777" w:rsidR="00FB3912" w:rsidRPr="003462EB" w:rsidRDefault="00FB3912" w:rsidP="00934B6B">
          <w:pPr>
            <w:pStyle w:val="Zpatvpravo"/>
          </w:pPr>
          <w:r>
            <w:t>Smlouva o dílo</w:t>
          </w:r>
        </w:p>
        <w:p w14:paraId="1E4A56B5" w14:textId="77777777" w:rsidR="00FB3912" w:rsidRPr="003462EB" w:rsidRDefault="00FB3912"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23BA66E8" w:rsidR="00FB3912" w:rsidRPr="009E09BE" w:rsidRDefault="00FB39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EFF">
            <w:rPr>
              <w:rStyle w:val="slostrnky"/>
              <w:noProof/>
            </w:rPr>
            <w:t>1</w:t>
          </w:r>
          <w:r>
            <w:rPr>
              <w:rStyle w:val="slostrnky"/>
            </w:rPr>
            <w:fldChar w:fldCharType="end"/>
          </w:r>
        </w:p>
      </w:tc>
    </w:tr>
  </w:tbl>
  <w:p w14:paraId="0AB044E9" w14:textId="77777777" w:rsidR="00FB3912" w:rsidRPr="00B8518B" w:rsidRDefault="00FB3912"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3912" w:rsidRPr="003462EB" w14:paraId="37043566" w14:textId="77777777" w:rsidTr="00F13FDA">
      <w:tc>
        <w:tcPr>
          <w:tcW w:w="1021" w:type="dxa"/>
          <w:vAlign w:val="bottom"/>
        </w:tcPr>
        <w:p w14:paraId="7FB47E05" w14:textId="77777777" w:rsidR="00FB3912" w:rsidRPr="00B8518B" w:rsidRDefault="00FB39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FB3912" w:rsidRPr="00DD4862" w:rsidRDefault="00FB3912" w:rsidP="00F13FDA">
          <w:pPr>
            <w:pStyle w:val="Zpatvlevo"/>
            <w:rPr>
              <w:b/>
            </w:rPr>
          </w:pPr>
          <w:r>
            <w:rPr>
              <w:b/>
            </w:rPr>
            <w:t>Příloha č. 8</w:t>
          </w:r>
        </w:p>
        <w:p w14:paraId="7E46E238" w14:textId="77777777" w:rsidR="00FB3912" w:rsidRDefault="00FB3912" w:rsidP="00F13FDA">
          <w:pPr>
            <w:pStyle w:val="Zpatvlevo"/>
          </w:pPr>
          <w:r w:rsidRPr="00B41CFD">
            <w:t>Smlouva o dílo</w:t>
          </w:r>
        </w:p>
        <w:p w14:paraId="00617CFA" w14:textId="77777777" w:rsidR="00FB3912" w:rsidRPr="003462EB" w:rsidRDefault="00FB3912" w:rsidP="00F13FDA">
          <w:pPr>
            <w:pStyle w:val="Zpatvlevo"/>
          </w:pPr>
          <w:r>
            <w:t>Z</w:t>
          </w:r>
          <w:r w:rsidRPr="00B63BD1">
            <w:t>hotovení Projektové dokumentace a stavby</w:t>
          </w:r>
        </w:p>
      </w:tc>
    </w:tr>
  </w:tbl>
  <w:p w14:paraId="378154D6" w14:textId="77777777" w:rsidR="00FB3912" w:rsidRPr="00F13FDA" w:rsidRDefault="00FB3912">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3912" w:rsidRPr="009E09BE" w14:paraId="4400289A" w14:textId="77777777" w:rsidTr="00934B6B">
      <w:tc>
        <w:tcPr>
          <w:tcW w:w="0" w:type="auto"/>
          <w:tcMar>
            <w:left w:w="0" w:type="dxa"/>
            <w:right w:w="0" w:type="dxa"/>
          </w:tcMar>
          <w:vAlign w:val="bottom"/>
        </w:tcPr>
        <w:p w14:paraId="5EE5CFD2" w14:textId="77777777" w:rsidR="00FB3912" w:rsidRPr="00DD4862" w:rsidRDefault="00FB3912" w:rsidP="00934B6B">
          <w:pPr>
            <w:pStyle w:val="Zpatvpravo"/>
            <w:rPr>
              <w:b/>
            </w:rPr>
          </w:pPr>
          <w:r w:rsidRPr="00DD4862">
            <w:rPr>
              <w:b/>
            </w:rPr>
            <w:t xml:space="preserve">Příloha č. </w:t>
          </w:r>
          <w:r>
            <w:rPr>
              <w:b/>
            </w:rPr>
            <w:t>8</w:t>
          </w:r>
        </w:p>
        <w:p w14:paraId="31628953" w14:textId="77777777" w:rsidR="00FB3912" w:rsidRPr="003462EB" w:rsidRDefault="00FB3912" w:rsidP="00934B6B">
          <w:pPr>
            <w:pStyle w:val="Zpatvpravo"/>
          </w:pPr>
          <w:r>
            <w:t>Smlouva o dílo</w:t>
          </w:r>
        </w:p>
        <w:p w14:paraId="2C3B0D6B" w14:textId="77777777" w:rsidR="00FB3912" w:rsidRPr="003462EB" w:rsidRDefault="00FB3912"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145AC47B" w:rsidR="00FB3912" w:rsidRPr="009E09BE" w:rsidRDefault="00FB39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EFF">
            <w:rPr>
              <w:rStyle w:val="slostrnky"/>
              <w:noProof/>
            </w:rPr>
            <w:t>1</w:t>
          </w:r>
          <w:r>
            <w:rPr>
              <w:rStyle w:val="slostrnky"/>
            </w:rPr>
            <w:fldChar w:fldCharType="end"/>
          </w:r>
        </w:p>
      </w:tc>
    </w:tr>
  </w:tbl>
  <w:p w14:paraId="5522624D" w14:textId="77777777" w:rsidR="00FB3912" w:rsidRPr="00B8518B" w:rsidRDefault="00FB3912"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3912" w:rsidRPr="003462EB" w14:paraId="17A00C67" w14:textId="77777777" w:rsidTr="00F13FDA">
      <w:tc>
        <w:tcPr>
          <w:tcW w:w="1021" w:type="dxa"/>
          <w:vAlign w:val="bottom"/>
        </w:tcPr>
        <w:p w14:paraId="391F9ADB" w14:textId="1EFCFB6F" w:rsidR="00FB3912" w:rsidRPr="00B8518B" w:rsidRDefault="00FB39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B2EFF">
            <w:rPr>
              <w:rStyle w:val="slostrnky"/>
              <w:noProof/>
            </w:rPr>
            <w:t>4</w:t>
          </w:r>
          <w:r>
            <w:rPr>
              <w:rStyle w:val="slostrnky"/>
            </w:rPr>
            <w:fldChar w:fldCharType="end"/>
          </w:r>
        </w:p>
      </w:tc>
      <w:tc>
        <w:tcPr>
          <w:tcW w:w="0" w:type="auto"/>
          <w:vAlign w:val="bottom"/>
        </w:tcPr>
        <w:p w14:paraId="0C84A86A" w14:textId="09C7F556" w:rsidR="00FB3912" w:rsidRPr="00DD4862" w:rsidRDefault="00FB3912" w:rsidP="00F13FDA">
          <w:pPr>
            <w:pStyle w:val="Zpatvlevo"/>
            <w:rPr>
              <w:b/>
            </w:rPr>
          </w:pPr>
          <w:r>
            <w:rPr>
              <w:b/>
            </w:rPr>
            <w:t>Příloha č. 10</w:t>
          </w:r>
        </w:p>
        <w:p w14:paraId="583DB0B7" w14:textId="77777777" w:rsidR="00FB3912" w:rsidRDefault="00FB3912" w:rsidP="00F13FDA">
          <w:pPr>
            <w:pStyle w:val="Zpatvlevo"/>
          </w:pPr>
          <w:r w:rsidRPr="00B41CFD">
            <w:t>Smlouva o dílo</w:t>
          </w:r>
        </w:p>
        <w:p w14:paraId="51B13DE3" w14:textId="77777777" w:rsidR="00FB3912" w:rsidRPr="003462EB" w:rsidRDefault="00FB3912" w:rsidP="00F13FDA">
          <w:pPr>
            <w:pStyle w:val="Zpatvlevo"/>
          </w:pPr>
          <w:r>
            <w:t>Z</w:t>
          </w:r>
          <w:r w:rsidRPr="00B63BD1">
            <w:t>hotovení Projektové dokumentace a stavby</w:t>
          </w:r>
        </w:p>
      </w:tc>
    </w:tr>
  </w:tbl>
  <w:p w14:paraId="72088436" w14:textId="77777777" w:rsidR="00FB3912" w:rsidRPr="00F13FDA" w:rsidRDefault="00FB3912">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3912" w:rsidRPr="009E09BE" w14:paraId="481F7ED1" w14:textId="77777777" w:rsidTr="00934B6B">
      <w:tc>
        <w:tcPr>
          <w:tcW w:w="0" w:type="auto"/>
          <w:tcMar>
            <w:left w:w="0" w:type="dxa"/>
            <w:right w:w="0" w:type="dxa"/>
          </w:tcMar>
          <w:vAlign w:val="bottom"/>
        </w:tcPr>
        <w:p w14:paraId="5F919DFC" w14:textId="77777777" w:rsidR="00FB3912" w:rsidRPr="00DD4862" w:rsidRDefault="00FB3912" w:rsidP="00934B6B">
          <w:pPr>
            <w:pStyle w:val="Zpatvpravo"/>
            <w:rPr>
              <w:b/>
            </w:rPr>
          </w:pPr>
          <w:r w:rsidRPr="00DD4862">
            <w:rPr>
              <w:b/>
            </w:rPr>
            <w:t xml:space="preserve">Příloha č. </w:t>
          </w:r>
          <w:r>
            <w:rPr>
              <w:b/>
            </w:rPr>
            <w:t>9</w:t>
          </w:r>
        </w:p>
        <w:p w14:paraId="7066BC56" w14:textId="77777777" w:rsidR="00FB3912" w:rsidRPr="003462EB" w:rsidRDefault="00FB3912" w:rsidP="00934B6B">
          <w:pPr>
            <w:pStyle w:val="Zpatvpravo"/>
          </w:pPr>
          <w:r>
            <w:t>Smlouva o dílo</w:t>
          </w:r>
        </w:p>
        <w:p w14:paraId="30542FBF" w14:textId="77777777" w:rsidR="00FB3912" w:rsidRPr="003462EB" w:rsidRDefault="00FB3912"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704B926" w:rsidR="00FB3912" w:rsidRPr="009E09BE" w:rsidRDefault="00FB39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EFF">
            <w:rPr>
              <w:rStyle w:val="slostrnky"/>
              <w:noProof/>
            </w:rPr>
            <w:t>1</w:t>
          </w:r>
          <w:r>
            <w:rPr>
              <w:rStyle w:val="slostrnky"/>
            </w:rPr>
            <w:fldChar w:fldCharType="end"/>
          </w:r>
        </w:p>
      </w:tc>
    </w:tr>
  </w:tbl>
  <w:p w14:paraId="7B50E386" w14:textId="77777777" w:rsidR="00FB3912" w:rsidRPr="00B8518B" w:rsidRDefault="00FB3912"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3912" w:rsidRPr="009E09BE" w14:paraId="6CFE5A53" w14:textId="77777777" w:rsidTr="00934B6B">
      <w:tc>
        <w:tcPr>
          <w:tcW w:w="0" w:type="auto"/>
          <w:tcMar>
            <w:left w:w="0" w:type="dxa"/>
            <w:right w:w="0" w:type="dxa"/>
          </w:tcMar>
          <w:vAlign w:val="bottom"/>
        </w:tcPr>
        <w:p w14:paraId="1415EFFB" w14:textId="6A561E21" w:rsidR="00FB3912" w:rsidRPr="00DD4862" w:rsidRDefault="00FB3912" w:rsidP="00934B6B">
          <w:pPr>
            <w:pStyle w:val="Zpatvpravo"/>
            <w:rPr>
              <w:b/>
            </w:rPr>
          </w:pPr>
          <w:r w:rsidRPr="00DD4862">
            <w:rPr>
              <w:b/>
            </w:rPr>
            <w:t xml:space="preserve">Příloha č. </w:t>
          </w:r>
          <w:r>
            <w:rPr>
              <w:b/>
            </w:rPr>
            <w:t>10</w:t>
          </w:r>
        </w:p>
        <w:p w14:paraId="28A41979" w14:textId="77777777" w:rsidR="00FB3912" w:rsidRPr="003462EB" w:rsidRDefault="00FB3912" w:rsidP="00934B6B">
          <w:pPr>
            <w:pStyle w:val="Zpatvpravo"/>
          </w:pPr>
          <w:r>
            <w:t>Smlouva o dílo</w:t>
          </w:r>
        </w:p>
        <w:p w14:paraId="3A71EDA8" w14:textId="77777777" w:rsidR="00FB3912" w:rsidRPr="003462EB" w:rsidRDefault="00FB3912"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1C8CC784" w:rsidR="00FB3912" w:rsidRPr="009E09BE" w:rsidRDefault="00FB39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EFF">
            <w:rPr>
              <w:rStyle w:val="slostrnky"/>
              <w:noProof/>
            </w:rPr>
            <w:t>4</w:t>
          </w:r>
          <w:r>
            <w:rPr>
              <w:rStyle w:val="slostrnky"/>
            </w:rPr>
            <w:fldChar w:fldCharType="end"/>
          </w:r>
        </w:p>
      </w:tc>
    </w:tr>
  </w:tbl>
  <w:p w14:paraId="74DC007C" w14:textId="77777777" w:rsidR="00FB3912" w:rsidRPr="00B8518B" w:rsidRDefault="00FB39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FB3912" w:rsidRDefault="00FB391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3912" w:rsidRPr="009E09BE" w14:paraId="640C53A3" w14:textId="77777777" w:rsidTr="00934B6B">
      <w:tc>
        <w:tcPr>
          <w:tcW w:w="0" w:type="auto"/>
          <w:tcMar>
            <w:left w:w="0" w:type="dxa"/>
            <w:right w:w="0" w:type="dxa"/>
          </w:tcMar>
          <w:vAlign w:val="bottom"/>
        </w:tcPr>
        <w:p w14:paraId="1F3DDB04" w14:textId="77777777" w:rsidR="00FB3912" w:rsidRPr="00DD4862" w:rsidRDefault="00FB3912" w:rsidP="00934B6B">
          <w:pPr>
            <w:pStyle w:val="Zpatvpravo"/>
            <w:rPr>
              <w:b/>
            </w:rPr>
          </w:pPr>
          <w:r w:rsidRPr="00DD4862">
            <w:rPr>
              <w:b/>
            </w:rPr>
            <w:t>Příloha č. 1</w:t>
          </w:r>
        </w:p>
        <w:p w14:paraId="2307E66C" w14:textId="77777777" w:rsidR="00FB3912" w:rsidRPr="003462EB" w:rsidRDefault="00FB3912" w:rsidP="00934B6B">
          <w:pPr>
            <w:pStyle w:val="Zpatvpravo"/>
          </w:pPr>
          <w:r>
            <w:t>Smlouva o dílo</w:t>
          </w:r>
        </w:p>
        <w:p w14:paraId="011F7908" w14:textId="77777777" w:rsidR="00FB3912" w:rsidRPr="003462EB" w:rsidRDefault="00FB3912"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01EC3039" w:rsidR="00FB3912" w:rsidRPr="009E09BE" w:rsidRDefault="00FB391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EFF">
            <w:rPr>
              <w:rStyle w:val="slostrnky"/>
              <w:noProof/>
            </w:rPr>
            <w:t>9</w:t>
          </w:r>
          <w:r>
            <w:rPr>
              <w:rStyle w:val="slostrnky"/>
            </w:rPr>
            <w:fldChar w:fldCharType="end"/>
          </w:r>
        </w:p>
      </w:tc>
    </w:tr>
  </w:tbl>
  <w:p w14:paraId="47F1712A" w14:textId="77777777" w:rsidR="00FB3912" w:rsidRPr="00B8518B" w:rsidRDefault="00FB391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3912" w:rsidRPr="003462EB" w14:paraId="0BBEB616" w14:textId="77777777" w:rsidTr="00F13FDA">
      <w:tc>
        <w:tcPr>
          <w:tcW w:w="1021" w:type="dxa"/>
          <w:vAlign w:val="bottom"/>
        </w:tcPr>
        <w:p w14:paraId="6D2FDC0A" w14:textId="77777777" w:rsidR="00FB3912" w:rsidRPr="00B8518B" w:rsidRDefault="00FB39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FB3912" w:rsidRPr="00DD4862" w:rsidRDefault="00FB3912" w:rsidP="00F13FDA">
          <w:pPr>
            <w:pStyle w:val="Zpatvlevo"/>
            <w:rPr>
              <w:b/>
            </w:rPr>
          </w:pPr>
          <w:r>
            <w:rPr>
              <w:b/>
            </w:rPr>
            <w:t>Příloha č. 2</w:t>
          </w:r>
        </w:p>
        <w:p w14:paraId="49286FA0" w14:textId="77777777" w:rsidR="00FB3912" w:rsidRDefault="00FB3912" w:rsidP="00F13FDA">
          <w:pPr>
            <w:pStyle w:val="Zpatvlevo"/>
          </w:pPr>
          <w:r w:rsidRPr="00B41CFD">
            <w:t>Smlouva o dílo</w:t>
          </w:r>
        </w:p>
        <w:p w14:paraId="2F4F2EAF" w14:textId="77777777" w:rsidR="00FB3912" w:rsidRPr="003462EB" w:rsidRDefault="00FB3912" w:rsidP="00F13FDA">
          <w:pPr>
            <w:pStyle w:val="Zpatvlevo"/>
          </w:pPr>
          <w:r>
            <w:t>Z</w:t>
          </w:r>
          <w:r w:rsidRPr="00B63BD1">
            <w:t>hotovení Projektové dokumentace a stavby</w:t>
          </w:r>
        </w:p>
      </w:tc>
    </w:tr>
  </w:tbl>
  <w:p w14:paraId="2E5C1A8C" w14:textId="77777777" w:rsidR="00FB3912" w:rsidRPr="00F13FDA" w:rsidRDefault="00FB391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3912" w:rsidRPr="009E09BE" w14:paraId="39F222F1" w14:textId="77777777" w:rsidTr="00934B6B">
      <w:tc>
        <w:tcPr>
          <w:tcW w:w="0" w:type="auto"/>
          <w:tcMar>
            <w:left w:w="0" w:type="dxa"/>
            <w:right w:w="0" w:type="dxa"/>
          </w:tcMar>
          <w:vAlign w:val="bottom"/>
        </w:tcPr>
        <w:p w14:paraId="45B7265B" w14:textId="77777777" w:rsidR="00FB3912" w:rsidRPr="00DD4862" w:rsidRDefault="00FB3912" w:rsidP="00934B6B">
          <w:pPr>
            <w:pStyle w:val="Zpatvpravo"/>
            <w:rPr>
              <w:b/>
            </w:rPr>
          </w:pPr>
          <w:r w:rsidRPr="00DD4862">
            <w:rPr>
              <w:b/>
            </w:rPr>
            <w:t>Příloha č. 2</w:t>
          </w:r>
        </w:p>
        <w:p w14:paraId="1E47570A" w14:textId="77777777" w:rsidR="00FB3912" w:rsidRPr="003462EB" w:rsidRDefault="00FB3912" w:rsidP="00934B6B">
          <w:pPr>
            <w:pStyle w:val="Zpatvpravo"/>
          </w:pPr>
          <w:r>
            <w:t>Smlouva o dílo</w:t>
          </w:r>
        </w:p>
        <w:p w14:paraId="31E2D647" w14:textId="77777777" w:rsidR="00FB3912" w:rsidRPr="003462EB" w:rsidRDefault="00FB3912"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5B3A8A36" w:rsidR="00FB3912" w:rsidRPr="009E09BE" w:rsidRDefault="00FB39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EFF">
            <w:rPr>
              <w:rStyle w:val="slostrnky"/>
              <w:noProof/>
            </w:rPr>
            <w:t>1</w:t>
          </w:r>
          <w:r>
            <w:rPr>
              <w:rStyle w:val="slostrnky"/>
            </w:rPr>
            <w:fldChar w:fldCharType="end"/>
          </w:r>
        </w:p>
      </w:tc>
    </w:tr>
  </w:tbl>
  <w:p w14:paraId="19334840" w14:textId="77777777" w:rsidR="00FB3912" w:rsidRPr="00B8518B" w:rsidRDefault="00FB391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3912" w:rsidRPr="003462EB" w14:paraId="5F7BD0FA" w14:textId="77777777" w:rsidTr="00F13FDA">
      <w:tc>
        <w:tcPr>
          <w:tcW w:w="1021" w:type="dxa"/>
          <w:vAlign w:val="bottom"/>
        </w:tcPr>
        <w:p w14:paraId="6ED25A52" w14:textId="77777777" w:rsidR="00FB3912" w:rsidRPr="00B8518B" w:rsidRDefault="00FB39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FB3912" w:rsidRPr="00DD4862" w:rsidRDefault="00FB3912" w:rsidP="00F13FDA">
          <w:pPr>
            <w:pStyle w:val="Zpatvlevo"/>
            <w:rPr>
              <w:b/>
            </w:rPr>
          </w:pPr>
          <w:r>
            <w:rPr>
              <w:b/>
            </w:rPr>
            <w:t>Příloha č. 3</w:t>
          </w:r>
        </w:p>
        <w:p w14:paraId="2507A82B" w14:textId="77777777" w:rsidR="00FB3912" w:rsidRDefault="00FB3912" w:rsidP="00F13FDA">
          <w:pPr>
            <w:pStyle w:val="Zpatvlevo"/>
          </w:pPr>
          <w:r w:rsidRPr="00B41CFD">
            <w:t>Smlouva o dílo</w:t>
          </w:r>
        </w:p>
        <w:p w14:paraId="31CB4DFE" w14:textId="77777777" w:rsidR="00FB3912" w:rsidRPr="003462EB" w:rsidRDefault="00FB3912" w:rsidP="00F13FDA">
          <w:pPr>
            <w:pStyle w:val="Zpatvlevo"/>
          </w:pPr>
          <w:r>
            <w:t>Z</w:t>
          </w:r>
          <w:r w:rsidRPr="00B63BD1">
            <w:t>hotovení Projektové dokumentace a stavby</w:t>
          </w:r>
        </w:p>
      </w:tc>
    </w:tr>
  </w:tbl>
  <w:p w14:paraId="2C0D0081" w14:textId="77777777" w:rsidR="00FB3912" w:rsidRPr="00F13FDA" w:rsidRDefault="00FB3912">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3912" w:rsidRPr="009E09BE" w14:paraId="1724B44A" w14:textId="77777777" w:rsidTr="00934B6B">
      <w:tc>
        <w:tcPr>
          <w:tcW w:w="0" w:type="auto"/>
          <w:tcMar>
            <w:left w:w="0" w:type="dxa"/>
            <w:right w:w="0" w:type="dxa"/>
          </w:tcMar>
          <w:vAlign w:val="bottom"/>
        </w:tcPr>
        <w:p w14:paraId="6BCA8218" w14:textId="77777777" w:rsidR="00FB3912" w:rsidRPr="00DD4862" w:rsidRDefault="00FB3912" w:rsidP="00934B6B">
          <w:pPr>
            <w:pStyle w:val="Zpatvpravo"/>
            <w:rPr>
              <w:b/>
            </w:rPr>
          </w:pPr>
          <w:r w:rsidRPr="00DD4862">
            <w:rPr>
              <w:b/>
            </w:rPr>
            <w:t xml:space="preserve">Příloha č. </w:t>
          </w:r>
          <w:r>
            <w:rPr>
              <w:b/>
            </w:rPr>
            <w:t>3</w:t>
          </w:r>
        </w:p>
        <w:p w14:paraId="52EDCD13" w14:textId="77777777" w:rsidR="00FB3912" w:rsidRPr="003462EB" w:rsidRDefault="00FB3912" w:rsidP="00934B6B">
          <w:pPr>
            <w:pStyle w:val="Zpatvpravo"/>
          </w:pPr>
          <w:r>
            <w:t>Smlouva o dílo</w:t>
          </w:r>
        </w:p>
        <w:p w14:paraId="07E14393" w14:textId="77777777" w:rsidR="00FB3912" w:rsidRPr="003462EB" w:rsidRDefault="00FB3912"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B437D55" w:rsidR="00FB3912" w:rsidRPr="009E09BE" w:rsidRDefault="00FB39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EFF">
            <w:rPr>
              <w:rStyle w:val="slostrnky"/>
              <w:noProof/>
            </w:rPr>
            <w:t>1</w:t>
          </w:r>
          <w:r>
            <w:rPr>
              <w:rStyle w:val="slostrnky"/>
            </w:rPr>
            <w:fldChar w:fldCharType="end"/>
          </w:r>
        </w:p>
      </w:tc>
    </w:tr>
  </w:tbl>
  <w:p w14:paraId="762526CA" w14:textId="77777777" w:rsidR="00FB3912" w:rsidRPr="00B8518B" w:rsidRDefault="00FB391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3912" w:rsidRPr="003462EB" w14:paraId="178176A4" w14:textId="77777777" w:rsidTr="00F13FDA">
      <w:tc>
        <w:tcPr>
          <w:tcW w:w="1021" w:type="dxa"/>
          <w:vAlign w:val="bottom"/>
        </w:tcPr>
        <w:p w14:paraId="74A79D6D" w14:textId="77777777" w:rsidR="00FB3912" w:rsidRPr="00B8518B" w:rsidRDefault="00FB39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FB3912" w:rsidRPr="00DD4862" w:rsidRDefault="00FB3912" w:rsidP="00F13FDA">
          <w:pPr>
            <w:pStyle w:val="Zpatvlevo"/>
            <w:rPr>
              <w:b/>
            </w:rPr>
          </w:pPr>
          <w:r>
            <w:rPr>
              <w:b/>
            </w:rPr>
            <w:t>Příloha č. 4</w:t>
          </w:r>
        </w:p>
        <w:p w14:paraId="485C5726" w14:textId="77777777" w:rsidR="00FB3912" w:rsidRDefault="00FB3912" w:rsidP="00F13FDA">
          <w:pPr>
            <w:pStyle w:val="Zpatvlevo"/>
          </w:pPr>
          <w:r w:rsidRPr="00B41CFD">
            <w:t>Smlouva o dílo</w:t>
          </w:r>
        </w:p>
        <w:p w14:paraId="1988285F" w14:textId="77777777" w:rsidR="00FB3912" w:rsidRPr="003462EB" w:rsidRDefault="00FB3912" w:rsidP="00F13FDA">
          <w:pPr>
            <w:pStyle w:val="Zpatvlevo"/>
          </w:pPr>
          <w:r>
            <w:t>Z</w:t>
          </w:r>
          <w:r w:rsidRPr="00B63BD1">
            <w:t>hotovení Projektové dokumentace a stavby</w:t>
          </w:r>
        </w:p>
      </w:tc>
    </w:tr>
  </w:tbl>
  <w:p w14:paraId="5CB138E9" w14:textId="77777777" w:rsidR="00FB3912" w:rsidRPr="00F13FDA" w:rsidRDefault="00FB3912">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3912" w:rsidRPr="009E09BE" w14:paraId="6642596F" w14:textId="77777777" w:rsidTr="00934B6B">
      <w:tc>
        <w:tcPr>
          <w:tcW w:w="0" w:type="auto"/>
          <w:tcMar>
            <w:left w:w="0" w:type="dxa"/>
            <w:right w:w="0" w:type="dxa"/>
          </w:tcMar>
          <w:vAlign w:val="bottom"/>
        </w:tcPr>
        <w:p w14:paraId="779B97E4" w14:textId="77777777" w:rsidR="00FB3912" w:rsidRPr="00DD4862" w:rsidRDefault="00FB3912" w:rsidP="00934B6B">
          <w:pPr>
            <w:pStyle w:val="Zpatvpravo"/>
            <w:rPr>
              <w:b/>
            </w:rPr>
          </w:pPr>
          <w:r w:rsidRPr="00DD4862">
            <w:rPr>
              <w:b/>
            </w:rPr>
            <w:t xml:space="preserve">Příloha č. </w:t>
          </w:r>
          <w:r>
            <w:rPr>
              <w:b/>
            </w:rPr>
            <w:t>4</w:t>
          </w:r>
        </w:p>
        <w:p w14:paraId="271EEA9C" w14:textId="77777777" w:rsidR="00FB3912" w:rsidRPr="003462EB" w:rsidRDefault="00FB3912" w:rsidP="00934B6B">
          <w:pPr>
            <w:pStyle w:val="Zpatvpravo"/>
          </w:pPr>
          <w:r>
            <w:t>Smlouva o dílo</w:t>
          </w:r>
        </w:p>
        <w:p w14:paraId="681B21FC" w14:textId="77777777" w:rsidR="00FB3912" w:rsidRPr="003462EB" w:rsidRDefault="00FB3912"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41841596" w:rsidR="00FB3912" w:rsidRPr="009E09BE" w:rsidRDefault="00FB39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EFF">
            <w:rPr>
              <w:rStyle w:val="slostrnky"/>
              <w:noProof/>
            </w:rPr>
            <w:t>1</w:t>
          </w:r>
          <w:r>
            <w:rPr>
              <w:rStyle w:val="slostrnky"/>
            </w:rPr>
            <w:fldChar w:fldCharType="end"/>
          </w:r>
        </w:p>
      </w:tc>
    </w:tr>
  </w:tbl>
  <w:p w14:paraId="1A6DDA75" w14:textId="77777777" w:rsidR="00FB3912" w:rsidRPr="00B8518B" w:rsidRDefault="00FB391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3912" w:rsidRPr="003462EB" w14:paraId="3B5DA880" w14:textId="77777777" w:rsidTr="00F13FDA">
      <w:tc>
        <w:tcPr>
          <w:tcW w:w="1021" w:type="dxa"/>
          <w:vAlign w:val="bottom"/>
        </w:tcPr>
        <w:p w14:paraId="73EB134A" w14:textId="77777777" w:rsidR="00FB3912" w:rsidRPr="00B8518B" w:rsidRDefault="00FB39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FB3912" w:rsidRPr="00DD4862" w:rsidRDefault="00FB3912" w:rsidP="00F13FDA">
          <w:pPr>
            <w:pStyle w:val="Zpatvlevo"/>
            <w:rPr>
              <w:b/>
            </w:rPr>
          </w:pPr>
          <w:r>
            <w:rPr>
              <w:b/>
            </w:rPr>
            <w:t>Příloha č. 5</w:t>
          </w:r>
        </w:p>
        <w:p w14:paraId="434C49BE" w14:textId="77777777" w:rsidR="00FB3912" w:rsidRDefault="00FB3912" w:rsidP="00F13FDA">
          <w:pPr>
            <w:pStyle w:val="Zpatvlevo"/>
          </w:pPr>
          <w:r w:rsidRPr="00B41CFD">
            <w:t>Smlouva o dílo</w:t>
          </w:r>
        </w:p>
        <w:p w14:paraId="60B5D949" w14:textId="77777777" w:rsidR="00FB3912" w:rsidRPr="003462EB" w:rsidRDefault="00FB3912" w:rsidP="00F13FDA">
          <w:pPr>
            <w:pStyle w:val="Zpatvlevo"/>
          </w:pPr>
          <w:r>
            <w:t>Z</w:t>
          </w:r>
          <w:r w:rsidRPr="00B63BD1">
            <w:t>hotovení Projektové dokumentace a stavby</w:t>
          </w:r>
        </w:p>
      </w:tc>
    </w:tr>
  </w:tbl>
  <w:p w14:paraId="13160E52" w14:textId="77777777" w:rsidR="00FB3912" w:rsidRPr="00F13FDA" w:rsidRDefault="00FB391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2830C" w14:textId="77777777" w:rsidR="00F31D02" w:rsidRDefault="00F31D02" w:rsidP="00962258">
      <w:pPr>
        <w:spacing w:after="0" w:line="240" w:lineRule="auto"/>
      </w:pPr>
      <w:r>
        <w:separator/>
      </w:r>
    </w:p>
  </w:footnote>
  <w:footnote w:type="continuationSeparator" w:id="0">
    <w:p w14:paraId="1B8C96DE" w14:textId="77777777" w:rsidR="00F31D02" w:rsidRDefault="00F31D0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FB3912" w:rsidRPr="00D6163D" w:rsidRDefault="00FB39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FB3912" w:rsidRPr="00D6163D" w:rsidRDefault="00FB391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FB3912" w:rsidRPr="00D6163D" w:rsidRDefault="00FB391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FB3912" w:rsidRPr="00D6163D" w:rsidRDefault="00FB391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FB3912" w:rsidRPr="00D6163D" w:rsidRDefault="00FB391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FB3912" w:rsidRPr="00D6163D" w:rsidRDefault="00FB391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FB3912" w:rsidRPr="00D6163D" w:rsidRDefault="00FB391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FB3912" w:rsidRPr="00D6163D" w:rsidRDefault="00FB391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FB3912" w:rsidRPr="00D6163D" w:rsidRDefault="00FB391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num>
  <w:num w:numId="35">
    <w:abstractNumId w:val="8"/>
  </w:num>
  <w:num w:numId="3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4706B"/>
    <w:rsid w:val="0006588D"/>
    <w:rsid w:val="00067A5E"/>
    <w:rsid w:val="00070152"/>
    <w:rsid w:val="000719BB"/>
    <w:rsid w:val="00072A65"/>
    <w:rsid w:val="00072C1E"/>
    <w:rsid w:val="000A1915"/>
    <w:rsid w:val="000B4EB8"/>
    <w:rsid w:val="000C2D3C"/>
    <w:rsid w:val="000C41F2"/>
    <w:rsid w:val="000C4EB8"/>
    <w:rsid w:val="000D22C4"/>
    <w:rsid w:val="000D27D1"/>
    <w:rsid w:val="000E1A7F"/>
    <w:rsid w:val="000E65EA"/>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5004"/>
    <w:rsid w:val="00286E07"/>
    <w:rsid w:val="002A3B57"/>
    <w:rsid w:val="002C31BF"/>
    <w:rsid w:val="002D1625"/>
    <w:rsid w:val="002D3591"/>
    <w:rsid w:val="002D6EE5"/>
    <w:rsid w:val="002D7FD6"/>
    <w:rsid w:val="002E0CD7"/>
    <w:rsid w:val="002E0CFB"/>
    <w:rsid w:val="002E5C7B"/>
    <w:rsid w:val="002F4333"/>
    <w:rsid w:val="0030003A"/>
    <w:rsid w:val="003017D9"/>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80412"/>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50F07"/>
    <w:rsid w:val="00450F44"/>
    <w:rsid w:val="00453CD3"/>
    <w:rsid w:val="00455CE8"/>
    <w:rsid w:val="00460660"/>
    <w:rsid w:val="00460F6D"/>
    <w:rsid w:val="00464BA9"/>
    <w:rsid w:val="00470146"/>
    <w:rsid w:val="00483969"/>
    <w:rsid w:val="00486107"/>
    <w:rsid w:val="00491827"/>
    <w:rsid w:val="004A17ED"/>
    <w:rsid w:val="004B28FA"/>
    <w:rsid w:val="004B4299"/>
    <w:rsid w:val="004C0513"/>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406EB"/>
    <w:rsid w:val="00544816"/>
    <w:rsid w:val="00553375"/>
    <w:rsid w:val="00555884"/>
    <w:rsid w:val="005614AC"/>
    <w:rsid w:val="0056278A"/>
    <w:rsid w:val="005736B7"/>
    <w:rsid w:val="00575E5A"/>
    <w:rsid w:val="0057614D"/>
    <w:rsid w:val="00580245"/>
    <w:rsid w:val="00582A82"/>
    <w:rsid w:val="00590C91"/>
    <w:rsid w:val="005A1F44"/>
    <w:rsid w:val="005B778D"/>
    <w:rsid w:val="005D3C39"/>
    <w:rsid w:val="005D6794"/>
    <w:rsid w:val="005E22EE"/>
    <w:rsid w:val="005E7125"/>
    <w:rsid w:val="005E7D74"/>
    <w:rsid w:val="005F14BD"/>
    <w:rsid w:val="005F3A8C"/>
    <w:rsid w:val="00600ECE"/>
    <w:rsid w:val="00600FA0"/>
    <w:rsid w:val="00601A8C"/>
    <w:rsid w:val="0061068E"/>
    <w:rsid w:val="006115D3"/>
    <w:rsid w:val="00623FDC"/>
    <w:rsid w:val="0065610E"/>
    <w:rsid w:val="00660AD3"/>
    <w:rsid w:val="006776B6"/>
    <w:rsid w:val="00680BF4"/>
    <w:rsid w:val="00686BA5"/>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40AF5"/>
    <w:rsid w:val="00740EA9"/>
    <w:rsid w:val="00743525"/>
    <w:rsid w:val="007470DC"/>
    <w:rsid w:val="007541A2"/>
    <w:rsid w:val="00755818"/>
    <w:rsid w:val="007570F0"/>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28E6"/>
    <w:rsid w:val="00846789"/>
    <w:rsid w:val="00855469"/>
    <w:rsid w:val="008572B8"/>
    <w:rsid w:val="00866994"/>
    <w:rsid w:val="008760DD"/>
    <w:rsid w:val="00883098"/>
    <w:rsid w:val="008911C8"/>
    <w:rsid w:val="008928D0"/>
    <w:rsid w:val="008A3568"/>
    <w:rsid w:val="008A7656"/>
    <w:rsid w:val="008B17AB"/>
    <w:rsid w:val="008B2F29"/>
    <w:rsid w:val="008B48D3"/>
    <w:rsid w:val="008C50F3"/>
    <w:rsid w:val="008C7539"/>
    <w:rsid w:val="008C7EFE"/>
    <w:rsid w:val="008D0156"/>
    <w:rsid w:val="008D03B9"/>
    <w:rsid w:val="008D30C7"/>
    <w:rsid w:val="008F18D6"/>
    <w:rsid w:val="008F2C9B"/>
    <w:rsid w:val="008F7242"/>
    <w:rsid w:val="008F797B"/>
    <w:rsid w:val="00904780"/>
    <w:rsid w:val="0090635B"/>
    <w:rsid w:val="009152C2"/>
    <w:rsid w:val="009214D9"/>
    <w:rsid w:val="00922385"/>
    <w:rsid w:val="009223DF"/>
    <w:rsid w:val="00925EBA"/>
    <w:rsid w:val="00934B6B"/>
    <w:rsid w:val="00936091"/>
    <w:rsid w:val="00936A20"/>
    <w:rsid w:val="00940D8A"/>
    <w:rsid w:val="00946FE9"/>
    <w:rsid w:val="00960C0C"/>
    <w:rsid w:val="00962258"/>
    <w:rsid w:val="00962919"/>
    <w:rsid w:val="009678B7"/>
    <w:rsid w:val="0097574D"/>
    <w:rsid w:val="0098100D"/>
    <w:rsid w:val="00985DF9"/>
    <w:rsid w:val="009908FF"/>
    <w:rsid w:val="00992D9C"/>
    <w:rsid w:val="00995DF9"/>
    <w:rsid w:val="00996CB8"/>
    <w:rsid w:val="00997C8B"/>
    <w:rsid w:val="009A522E"/>
    <w:rsid w:val="009B2E97"/>
    <w:rsid w:val="009B4201"/>
    <w:rsid w:val="009B5146"/>
    <w:rsid w:val="009C418E"/>
    <w:rsid w:val="009C442C"/>
    <w:rsid w:val="009D25D3"/>
    <w:rsid w:val="009D7398"/>
    <w:rsid w:val="009D7EE9"/>
    <w:rsid w:val="009E07F4"/>
    <w:rsid w:val="009F0867"/>
    <w:rsid w:val="009F309B"/>
    <w:rsid w:val="009F392E"/>
    <w:rsid w:val="009F53C5"/>
    <w:rsid w:val="009F638B"/>
    <w:rsid w:val="009F6914"/>
    <w:rsid w:val="00A0740E"/>
    <w:rsid w:val="00A1019E"/>
    <w:rsid w:val="00A21A01"/>
    <w:rsid w:val="00A21B2B"/>
    <w:rsid w:val="00A349C6"/>
    <w:rsid w:val="00A50641"/>
    <w:rsid w:val="00A530BF"/>
    <w:rsid w:val="00A6177B"/>
    <w:rsid w:val="00A637A7"/>
    <w:rsid w:val="00A66136"/>
    <w:rsid w:val="00A6689C"/>
    <w:rsid w:val="00A7050F"/>
    <w:rsid w:val="00A71189"/>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94"/>
    <w:rsid w:val="00B75EE1"/>
    <w:rsid w:val="00B77228"/>
    <w:rsid w:val="00B77481"/>
    <w:rsid w:val="00B8518B"/>
    <w:rsid w:val="00B97CC3"/>
    <w:rsid w:val="00BB1390"/>
    <w:rsid w:val="00BB1F16"/>
    <w:rsid w:val="00BB2EFF"/>
    <w:rsid w:val="00BB31AD"/>
    <w:rsid w:val="00BC06C4"/>
    <w:rsid w:val="00BC5BDD"/>
    <w:rsid w:val="00BD5DE9"/>
    <w:rsid w:val="00BD7E91"/>
    <w:rsid w:val="00BD7F0D"/>
    <w:rsid w:val="00BE5FD5"/>
    <w:rsid w:val="00BF2895"/>
    <w:rsid w:val="00BF4C5D"/>
    <w:rsid w:val="00BF6DA3"/>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82C49"/>
    <w:rsid w:val="00C9118F"/>
    <w:rsid w:val="00C95162"/>
    <w:rsid w:val="00CA143D"/>
    <w:rsid w:val="00CA3174"/>
    <w:rsid w:val="00CB1C6E"/>
    <w:rsid w:val="00CB2DC6"/>
    <w:rsid w:val="00CB4F6D"/>
    <w:rsid w:val="00CB6A37"/>
    <w:rsid w:val="00CB7684"/>
    <w:rsid w:val="00CC114F"/>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16FF7"/>
    <w:rsid w:val="00E26D68"/>
    <w:rsid w:val="00E30910"/>
    <w:rsid w:val="00E31C62"/>
    <w:rsid w:val="00E44045"/>
    <w:rsid w:val="00E618C4"/>
    <w:rsid w:val="00E62689"/>
    <w:rsid w:val="00E72242"/>
    <w:rsid w:val="00E7415D"/>
    <w:rsid w:val="00E865D7"/>
    <w:rsid w:val="00E878EE"/>
    <w:rsid w:val="00E901A3"/>
    <w:rsid w:val="00EA585B"/>
    <w:rsid w:val="00EA6EC7"/>
    <w:rsid w:val="00EB104F"/>
    <w:rsid w:val="00EB46E5"/>
    <w:rsid w:val="00ED14BD"/>
    <w:rsid w:val="00EE2D3D"/>
    <w:rsid w:val="00EE7A4C"/>
    <w:rsid w:val="00F016C7"/>
    <w:rsid w:val="00F12DEC"/>
    <w:rsid w:val="00F13FDA"/>
    <w:rsid w:val="00F1715C"/>
    <w:rsid w:val="00F203EA"/>
    <w:rsid w:val="00F21E6B"/>
    <w:rsid w:val="00F26A37"/>
    <w:rsid w:val="00F310F8"/>
    <w:rsid w:val="00F31D02"/>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5BCB"/>
    <w:rsid w:val="00F95FBD"/>
    <w:rsid w:val="00FB391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82C4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36D2C1A-0E54-43B4-B3E2-C77051964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450</TotalTime>
  <Pages>34</Pages>
  <Words>5406</Words>
  <Characters>31901</Characters>
  <Application>Microsoft Office Word</Application>
  <DocSecurity>0</DocSecurity>
  <Lines>265</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72</cp:revision>
  <cp:lastPrinted>2021-01-18T08:04:00Z</cp:lastPrinted>
  <dcterms:created xsi:type="dcterms:W3CDTF">2020-12-10T13:03:00Z</dcterms:created>
  <dcterms:modified xsi:type="dcterms:W3CDTF">2021-10-11T05:31:00Z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